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musty 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citronellol; nerol; 7-hydroxycitronellal; linalyl acetate; 2-benzylideneheptanal; α-hexylcinnamaldehyde; isoeugenol; d-limonene; linalool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0,594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0,302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2-benzylideneheptanal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122-40-7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204-541-5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0,095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Mimo że nie określono konkretnych zagrożeń, osoby udzielające pierwszej pomocy powinny nosić okulary ochronne, rękawice i jednorazową półmaskę. Rozważyć dodatkową ochronę, jeśli prawdopodobna jest powtarzająca się lub długotrwała ekspozycja.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Pikantny. Kwiatowy. Pomarańczowy. Green. Hesperidaceae.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4500 mg/kg masy ciała Animal: rat, Animal sex: male, Guideline: OECD Guideline 401 (Acute Oral Toxicity), 95% CL: 3400 - 5600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3730 mg/kg masy ciała Animal: rat, Guideline: OECD Guideline 401 (Acute Oral Toxicity), 95% CL: 3190 - 4370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4,53 Temp.: 26,8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4,53 Temp.: 26,8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2000 mg/kg masy ciała Animal: rat, Guideline: other:</w:t>
            </w:r>
          </w:p>
        </w:tc>
      </w:tr>
      <w:tr w14:paraId="1DE6168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E7C06A1" w14:textId="0EA9F377">
            <w:pPr>
              <w:pStyle w:val="SDSTableTextNormal"/>
              <w:rPr>
                <w:noProof w:val="0"/>
                <w:lang w:val="de-DE"/>
              </w:rPr>
            </w:pPr>
            <w:r w:rsidRPr="0069446B">
              <w:rPr>
                <w:noProof/>
                <w:lang w:val="de-DE"/>
              </w:rPr>
              <w:t>NOAEC (inhalacja, szczur, pył/mgła/dym,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1724A9" w14:textId="17F52C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0,063 mg/l air Animal: rat, Guideline: OECD Guideline 412 (Subacute Inhalation Toxicity: 28-Day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musty 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14,66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17,48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 mg/l Test organisms (species):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20,3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32,4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0,91 mg/l Test organisms (species): not specified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Daphnia sp.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1,5 mg/l Test organisms (species): not specified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not specified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0,041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musty 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nerol (106-25-2)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17.06.2026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17.06.2026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15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musty 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musty 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17.06.2026   Wersja: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9C312-2CC0-47DB-83E7-B8A7FAA98DA5}"/>
</file>

<file path=customXml/itemProps3.xml><?xml version="1.0" encoding="utf-8"?>
<ds:datastoreItem xmlns:ds="http://schemas.openxmlformats.org/officeDocument/2006/customXml" ds:itemID="{E3F32F76-D2DB-45B7-A263-88904116E79F}"/>
</file>

<file path=customXml/itemProps4.xml><?xml version="1.0" encoding="utf-8"?>
<ds:datastoreItem xmlns:ds="http://schemas.openxmlformats.org/officeDocument/2006/customXml" ds:itemID="{35ABC6B5-9B48-45AC-A060-D04EBD94A5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