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Zapach samochodowy - Fruits rouges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QHX0-Q02P-H00A-QN8S</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Kod produktu</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1874708</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p w:rsidR="00827634" w:rsidRPr="0069446B" w:rsidP="009E5102" w14:paraId="2D05B3D4" w14:textId="5E45E9EA">
      <w:pPr>
        <w:pStyle w:val="SDSTextNormal"/>
      </w:pPr>
      <w:r w:rsidRPr="0069446B">
        <w:rPr>
          <w:noProof/>
        </w:rPr>
        <w:t>Przeznaczone do użytku ogólnego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Kategoria głównego zastosowania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Stosowanie przez konsumentów</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Zapach do samochodu przeznaczony dla ogółu społeczeństwa.</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Poważne uszkodzenie oczu/działanie drażniące na oczy Nie sklasyfikowany</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r w:rsidRPr="0069446B">
              <w:rPr>
                <w:noProof/>
              </w:rPr>
              <w:t>W oparciu o dostępne dane, kryteria klasyfikacji nie są spełnione</w:t>
            </w: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Uczulenie skórne, kategoria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Niebezpieczny dla środowiska wodnego – Niebezpieczeństwo chroniczne, kategoria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Pr>
          <w:noProof/>
        </w:rPr>
        <w:t>Może powodować reakcję alergiczną skóry. Działa drażniąco na oczy. Działa toksycznie na organizmy wodne, powodując długotrwałe skutki.</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Pr>
                <w:noProof/>
              </w:rPr>
              <w:t>Piktogramy określające rodzaj zagrożenia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Hasło ostrzegawcze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Uwaga</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Zawiera</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3-methyl-4-(2,6,6-trimethyl-2-cyclohexen-1-yl)-3-buten-2-one; ALPHA-METHYL-ALPHA-IONONE; (E)-1-(2,6,6-trimethyl-2-cyclohexen-1-yl)-2-buten-1-one; 1-(2,6,6-trimethyl-1-cyclohexen-1-yl)pent-1-en-3-one; d-limonene; cyclamen aldehyde; linalool; 2-benzylideneheptanal; 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Może powodować alergię skórną.</w:t>
              <w:br/>
              <w:t>H411 - Działa toksycznie na organizmy wodne, powodując długotrwałe skutki.</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P273 - Unikać uwalniania do środowiska.</w:t>
              <w:br/>
              <w:t>P302+P352 - W PRZYPADKU KONTAKTU ZE SKÓRĄ: Dokładnie umyć wody z mydłem.</w:t>
              <w:br/>
              <w:t>P391 - Zebrać wyciek.</w:t>
              <w:br/>
              <w:t>P501 - Zawartość i pojemnik usuwać do centrum sortowania, zgodnie z lokalnymi przepisami.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Składnik</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Substancja(-e) niespełniająca(-e) kryteriów PBT rozporządzenia REACH, zgodnie z załącznikiem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Ionone, methyl- (1335-46-2)</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Substancja(-e) niespełniająca(-e) kryteriów vPvB rozporządzenia REACH, zgodnie z załącznikiem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Ionone, methyl- (1335-46-2)</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substancja posiada dopuszczalna(e) wartość/wartości narażenia zawodowego (PL); substancja z określoną na poziomie Wspólnoty wartością najwyższego dopuszczalnego stężenia w środowisku pracy</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Nie sklasyfikowany</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Ionone, methyl-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1335-46-2</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215-635-0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ALPHA-METHYL-ALPHA-IONONE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127-42-4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204-842-1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br/>
              <w:t>Skin Sens. 1B, H317</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23696-85-7</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245-833-2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(Poprzez wdychanie), H332</w:t>
              <w:br/>
              <w:t>Skin Irrit. 2, H315</w:t>
              <w:br/>
              <w:t>Skin Sens. 1A, H317</w:t>
              <w:br/>
              <w:t>Aquatic Chronic 2, H411</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Umyj skórę dużą ilością wody. Zdjąć zanieczyszczoną odzież. W przypadku wystąpienia podrażnienia skóry lub wysypki: Zasięgnąć porady/zgłosić się pod opiekę lekarza.</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Ostrożnie płukać wodą przez kilka minut. Wyjąć soczewki kontaktowe, jeżeli są i można je łatwo usunąć. Nadal płukać. W przypadku utrzymywania się działania drażniącego na oczy: Zasięgnąć porady/zgłosić się pod opiekę lekarza.</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Może powodować reakcję alergiczną skóry.</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Podrażnienie oczu.</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Wentyluj obszar wycieku. Unikać kontaktu ze skórą i z oczami. Unikać wdychania pyłu/dymu/gazu/mgły/par/rozpylonej cieczy.</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wyciek.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Unikać kontaktu ze skórą i z oczami. Unikać wdychania pyłu/dymu/gazu/mgły/par/rozpylonej cieczy.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Zanieczyszczonej odzieży ochronnej nie wynosić poza miejsce pracy. Wyprać zanieczyszczoną odzież przed ponownym użyciem. 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B077C8" w:rsidRPr="0069446B" w:rsidP="00B077C8" w14:paraId="76C830A6" w14:textId="7C05BC4C">
      <w:pPr>
        <w:pStyle w:val="SDSTextHeading3"/>
        <w:rPr>
          <w:noProof w:val="0"/>
          <w:color w:val="auto"/>
          <w:lang w:val="en-US"/>
        </w:rPr>
      </w:pPr>
      <w:r w:rsidRPr="0069446B">
        <w:rPr>
          <w:noProof/>
          <w:color w:val="auto"/>
          <w:lang w:val="en-US"/>
        </w:rPr>
        <w:t>Krajowe wartości najwyższych dopuszczalnych stężeń w środowisku pracy i dopuszczalne wartości biologiczne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Orientacyjna wartość graniczna narażenia zawodowego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Nazwa miejscowa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Uwaga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Odniesienie regulacyjne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Polska - Najwyższe dopuszczalne stężenie na stanowisku pracy</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Nazwa miejscowa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(2-Metoksymetyloetoksy)propanol – mieszanina izomerów: 1-(2-metoksy-1-metyloetoksy)propan-2-ol; 1-(2-metoksy-2-metyloetoksy)propan-2-ol; 2-(2-metoksy-1-metyloetoksy)propan-1-ol</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NDS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240 mg/m³</w:t>
            </w:r>
          </w:p>
        </w:tc>
      </w:tr>
      <w:tr w14:paraId="70951C40"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NDSCh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480 mg/m³</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Uwaga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Skóra (Oznakowanie substancji notacją „skóra” oznacza, że wchłanianie substancji przez skórę może być tak samo istotne jak przy narażeniu drogą oddechową).</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Odniesienie regulacyjne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Dz. U. 2026 poz. 447 wraz z późn. zm.</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Indywidualne wyposażenie ochronne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Środki ochrony indywidualnej</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Nosić zalecany indywidualny sprzęt ochronny.</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sidR="00FA7F7F">
              <w:rPr>
                <w:noProof/>
              </w:rPr>
              <w:t>Symbole osobistego sprzętu ochronnego</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Rękawic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Okulary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Nosić odpowiednią odzież ochron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Ochronę oczu lub twarzy</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Ochrona oczu</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Okulary ochronne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Ochrona skóry</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Ochrona skóry i ciała</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Nosić odpowiednią odzież ochronną</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Ochrona rąk</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Rękawice ochronne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Ochrona dróg oddechowych</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Ochrona dróg oddechowych</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W przypadku niewystarczającej wentylacji, nosić odpowiedni aparat oddechowy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Bezbarwna. Żółta.</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Owocowy.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masy ciała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masy ciała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masy ciała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masy ciała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masy ciała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vanillin (121-33-5)</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masy ciała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Ionone, methyl- (1335-46-2)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masy ciała Animal: rat, Guideline: OECD Guideline 423 (Acute Oral toxicity - Acute Toxic Class Method), Guideline: EU Method B.1 (Acute Toxicity (Oral))</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masy ciała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masy ciała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masy ciała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masy ciała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masy ciała Animal: rat, Animal sex: female, Guideline: OECD Guideline 423 (Acute Oral toxicity - Acute Toxic Class Method)</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masy ciała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masy ciała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masy ciała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masy ciała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masy ciała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masy ciała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masy ciała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Może powodować alergię skórną.</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(zwierzę/samica,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masy ciała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(zwierzę/samica,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masy ciała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(zwierzę/samiec,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masy ciała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(zwierzę/samica,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masy ciała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masy ciała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masy ciała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masy ciała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masy ciała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masy ciała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(E)-1-(2,6,6-trimethyl-2-cyclohexen-1-yl)-2-buten-1-one (24720-09-0)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masy ciała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masy ciała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masy ciała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Informacje o innych zagrożeniach</w:t>
      </w:r>
      <w:bookmarkEnd w:id="4"/>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Działa toksycznie na organizmy wodne, powodując długotrwałe skutki.</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Działa toksycznie na organizmy wodne, powodując długotrwałe skutki.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(przewlekłe)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(przewlekła)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vanillin (121-33-5)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Ryby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123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36,79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(przewlekłe)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(przewlekła)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Ionone, methyl- (1335-46-2)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1,57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9,42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Inne organizmy wodne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(przewlekłe)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(przewlekła)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(E)-1-(2,6,6-trimethyl-2-cyclohexen-1-yl)-2-buten-1-one (24720-09-0)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Ryby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Skorupiaki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Ryby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Zapach samochodowy - Fruits rouges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vanillin (121-33-5)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Ionone, methyl- (1335-46-2)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ALPHA-METHYL-ALPHA-IONONE (127-42-4)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1-(2,6,6-trimethyl-1-cyclohexen-1-yl)pent-1-en-3-one (127-43-5)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1-(2,6,6-trimethyl-1,3-cyclohexadien-1-yl)-2-buten-1-one (23696-85-7)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Składnik</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Substancja(-e) niespełniająca(-e) kryteriów PBT rozporządzenia REACH, zgodnie z załącznikiem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Ionone, methyl- (1335-46-2)</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Substancja(-e) niespełniająca(-e) kryteriów vPvB rozporządzenia REACH, zgodnie z załącznikiem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Ionone, methyl- (1335-46-2)</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5"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Kod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»Ekotoksyczne«: odpady, które stanowią lub mogą stanowić bezpośrednie lub opóźnione zagrożenie dla co najmniej jednego elementu środowiska.</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SUBSTANCJA NIEBEZPIECZNA DLA ŚRODOWISKA, CIEKŁA, NIEWYMIENIONA OSOBNO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SUBSTANCJA NIEBEZPIECZNA Z PUNKTU WIDZENIA ŚRODOWISKA, CIECZ,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SUBSTANCJA NIEBEZPIECZNA Z PUNKTU WIDZENIA ŚRODOWISKA, CIECZ,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Opis dokumentu przewozowego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SUBSTANCJA NIEBEZPIECZNA DLA ŚRODOWISKA, CIEKŁA, NIEWYMIENIONA OSOBNO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SUBSTANCJA NIEBEZPIECZNA Z PUNKTU WIDZENIA ŚRODOWISKA, CIECZ,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SUBSTANCJA NIEBEZPIECZNA Z PUNKTU WIDZENIA ŚRODOWISKA, CIECZ,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Oznaczenie substancji niebezpiecznej dla środowiska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Oznaczenie substancji niebezpiecznej dla środowiska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Oznaczenie substancji niebezpiecznej dla środowiska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Oznaczenie substancji niebezpiecznej dla środowiska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Oznaczenie substancji niebezpiecznej dla środowiska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Tak</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Tak</w:t>
            </w:r>
          </w:p>
          <w:p w:rsidR="00E5555B" w:rsidRPr="0069446B" w:rsidP="00CB352E" w14:paraId="59B4C75B" w14:textId="3A38D38E">
            <w:pPr>
              <w:pStyle w:val="SDSTableTextCentered"/>
              <w:rPr>
                <w:noProof w:val="0"/>
              </w:rPr>
            </w:pPr>
            <w:r w:rsidRPr="0069446B" w:rsidR="00FA7F7F">
              <w:rPr>
                <w:noProof/>
              </w:rPr>
              <w:t>Zanieczyszczenia morskie</w:t>
            </w:r>
            <w:r w:rsidRPr="0069446B">
              <w:rPr>
                <w:noProof w:val="0"/>
              </w:rPr>
              <w:t xml:space="preserve">: </w:t>
            </w:r>
            <w:r w:rsidRPr="0069446B" w:rsidR="00FA7F7F">
              <w:rPr>
                <w:noProof/>
              </w:rPr>
              <w:t>Tak</w:t>
            </w:r>
          </w:p>
          <w:p w:rsidR="00C93EB0" w:rsidRPr="0069446B" w:rsidP="00C93EB0" w14:paraId="3E1963A9" w14:textId="2D18F11C">
            <w:pPr>
              <w:pStyle w:val="SDSTableTextCentered"/>
              <w:rPr>
                <w:noProof w:val="0"/>
              </w:rPr>
            </w:pPr>
            <w:r w:rsidRPr="0069446B" w:rsidR="00FA7F7F">
              <w:rPr>
                <w:noProof/>
              </w:rPr>
              <w:t>Nr EmS (Ogień)</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Nr EmS (Rozlanie)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Tak</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Tak</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Produkt niebezpieczny dla środowiska</w:t>
            </w:r>
            <w:r w:rsidRPr="0069446B">
              <w:rPr>
                <w:noProof w:val="0"/>
              </w:rPr>
              <w:t xml:space="preserve">: </w:t>
            </w:r>
            <w:r w:rsidRPr="0069446B" w:rsidR="00FA7F7F">
              <w:rPr>
                <w:noProof/>
              </w:rPr>
              <w:t>Tak</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Kod klasyfikacyjny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Przepisy szczególne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Ilości ograniczone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Ilości wyłączone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Instrukcje pakowania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Przepisy szczególne pakowania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Przepisy dotyczące pakowania razem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Instrukcje dla cystern przenośnych i kontenerów do przewozu luzem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Przepisy szczególne dla cystern przenośnych i kontenerów do przewozu luzem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Kod cysterny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Pojazd do przewozu cystern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Kategoria transportowa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Przepisy szczególne dotyczące przewozu - Sztuki przesyłki</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Przepisy szczególne dotyczące przewozu – Załadunek, rozładunek i manipulowanie ładunkiem</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Numer rozpoznawczy zagrożenia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Pomarańczowe tabliczki</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omarańczowe tabli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Kod ograniczeń przewozu przez tunele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Przepisy szczególne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Ograniczone ilości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Ilości wyłączone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Instrukcje dotyczące opakowania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Przepisy szczególne dotyczące opakowania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Pr>
                <w:noProof/>
              </w:rPr>
              <w:t>Instrukcje pakowania w kontenerach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Instrukcje dotyczące cystern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Przepisy szczególne dot. zbiorników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Kategoria rozmieszczenia ładunku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Przewidywane ilości wyjąwszy samoloty pasażerskie i towarowe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Ilości ograniczone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Maksymalna ilość netto w przypadku ograniczonej ilości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Instrukcje dot. opakowania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Maksymalna ilość netto w przypadku ograniczonej ilości dla samolotów pasażerskich i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Instrukcje dot. opakowania wyłącznie dla samolotów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Pr>
                <w:noProof/>
              </w:rPr>
              <w:t>Maksymalna ilość netto wyłącznie dla samolotów towarowych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Przepisy szczególne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Kod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Kod klasyfikacyjny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Przepisy szczególne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Ograniczone ilości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Ilości wyłączone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Przewóz jest dozwolony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Wymagane wyposażenie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sidR="00FA7F7F">
              <w:rPr>
                <w:noProof/>
              </w:rPr>
              <w:t>Liczba niebieskich stożków/świateł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Kod klasyfikacyjny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Przepisy szczególne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Ograniczone ilości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Ilości wyłączone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Instrukcje dotyczące opakowania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Przepisy szczególne dotyczące opakowania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Specjalne przepisy związane z opakowaniem razem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Instrukcje dotyczące ruchomych cystern oraz pojemników na odpady luzem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Zalecenia specjalne, dotyczące ruchomych cystern oraz pojemników na odpady luzem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Kody cysterny dotyczące cystern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Kategoria transportu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Zalecenia specjalne dotyczące transportu – paczki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Zalecenia specjalne dotyczące transportu – ładowania wyładowywania i obsługiwania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Przesyłki ekspresowe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Nr identyfikacyjny zagrożenia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ograniczeń (REACH, załącznik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Kod referencyjny</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Dotyczy</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Wpisać tytuł lub opis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2.1–2.4, 2.6 i 2.7, 2.8 typy A i B, klasy 2.9, 2.10, 2.12, klasa 2.13 kategorie 1 i 2, klasa 2.14 kategorie 1 i 2 oraz klasa 2.15 typy A–F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Zapach samochodowy - Fruits rouges Car ; linalyl acetate ; benzyl benzoate ; Ionone, methyl- ; 3-methyl-4-(2,6,6-trimethyl-2-cyclohexen-1-yl)-3-buten-2-one ; (E)-1-(2,6,6-trimethyl-2-cyclohexen-1-yl)-2-buten-1-one ; d-limonene ; cyclamen 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3.1–3.6, klasa 3.7 – działanie szkodliwe na funkcje rozrodcze i płodność lub na rozwój, klasa 3.8 – działanie inne niż narkotyczne, klasy 3.9 i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Ionone, methyl- ; 3-methyl-4-(2,6,6-trimethyl-2-cyclohexen-1-yl)-3-buten-2-one ; (E)-1-(2,6,6-trimethyl-2-cyclohexen-1-yl)-2-buten-1-one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Klasa zagrożenia 4.1</w:t>
            </w:r>
          </w:p>
        </w:tc>
      </w:tr>
    </w:tbl>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(Poprzez wdychanie)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Toksyczność ostra (po narażeniu inhalacyjnym), kategoria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Niebezpieczeństwo w przypadku aspiracji, kategoria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Dam./Irrit. Niesklasyfikowane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Poważne uszkodzenie oczu/działanie drażniące na oczy Nie sklasyfikowany</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Ciecze łatwopalne, kategoria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Działanie szkodliwe na rozrodczość, kategoria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Działający korozyjnie/podrażniająco na skórę, kategoria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Ciecz i opary łatwopalne.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być śmiertelny w przypadku spożycia i dostania się do dróg oddechowych.</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podrażnienie skóry.</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w następstwie wdychania.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Podejrzewa się, że działa szkodliwie na płodność lub na dziecko w łonie matki.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toksycznie na organizmy wodne, powodując długotrwałe skutki.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Szkodliwy dla organizmów wodnych, powoduje długoterminowe skutki niepożądane.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Dam./Irrit. Niesklasyfikowane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Ocena eksperta</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Metoda obliczeniowa</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3.07.2026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3.07.2026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Zapach samochodowy - Fruits rouges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Zapach samochodowy - Fruits rouges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zgodnie z przepisami REACH (EC) 1907/2006 skorygowanymi przez przepisy (EU) 2020/878</w:t>
          </w:r>
        </w:p>
        <w:p w:rsidR="009C6C12" w:rsidRPr="008F5B08" w:rsidP="008F5B08" w14:paraId="31267F45" w14:textId="67A5CBF0">
          <w:pPr>
            <w:pStyle w:val="SDSTableTextHeader"/>
          </w:pPr>
          <w:r>
            <w:rPr>
              <w:noProof/>
            </w:rPr>
            <w:t>Data wydania: 3.07.2026   Wersja: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6919E69-957E-4391-9B5C-8564D916EC7E}"/>
</file>

<file path=customXml/itemProps3.xml><?xml version="1.0" encoding="utf-8"?>
<ds:datastoreItem xmlns:ds="http://schemas.openxmlformats.org/officeDocument/2006/customXml" ds:itemID="{512EAA58-1FE1-41FE-9CB6-76671F10B5E2}"/>
</file>

<file path=customXml/itemProps4.xml><?xml version="1.0" encoding="utf-8"?>
<ds:datastoreItem xmlns:ds="http://schemas.openxmlformats.org/officeDocument/2006/customXml" ds:itemID="{6DD7E54C-FA0A-494A-9C24-F3760BC8AB6D}"/>
</file>

<file path=docProps/app.xml><?xml version="1.0" encoding="utf-8"?>
<Properties xmlns="http://schemas.openxmlformats.org/officeDocument/2006/extended-properties" xmlns:vt="http://schemas.openxmlformats.org/officeDocument/2006/docPropsVTypes">
  <Template>Normal</Template>
  <TotalTime>219</TotalTime>
  <Pages>19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