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cèdre et eucalyptus</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49P1-T0YV-P00G-03PV</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PC-2353959</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Łatwopalna ciecz i pary. 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P305+P351+P338 - W PRZYPADKU KONTAKTU Z OCZAMI: Ostrożnie przepłukać wodą przez kilka minut. Zdjąć soczewki kontaktowe, jeśli ofiara je nosi i można je łatwo zdjąć. Kontynuować przepłukiwanie.</w:t>
              <w:br/>
              <w:t>P333+P313 - W przypadku podrażnienia lub wysypki skórnej: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CITRONELLOL, GERANYL ACETATE, linalyl acetate, linalool, EUGENOL, EUCALYPTOL.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textId="33B2CEBF">
            <w:pPr>
              <w:pStyle w:val="SDSTableTextNormal"/>
              <w:rPr>
                <w:noProof w:val="0"/>
              </w:rPr>
            </w:pPr>
            <w:r w:rsidRPr="0069446B">
              <w:rPr>
                <w:noProof/>
              </w:rPr>
              <w:t>substancja posiada dopuszczalna(e) wartość/wartości narażenia zawodowego (PL); substancja z określoną na poziomie Wspólnoty wartością najwyższego dopuszczalnego stężenia w środowisku pracy</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Bornane-2-one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1, H228</w:t>
              <w:br/>
              <w:t>Acute Tox. 4 (Poprzez wdychanie), H332 (ATE=1,5 mg/l/4h)</w:t>
              <w:br/>
              <w:t>Skin Irrit. 2, H315</w:t>
              <w:br/>
              <w:t>Eye Dam. 1, H318</w:t>
              <w:br/>
              <w:t>STOT SE 2, H371</w:t>
              <w:br/>
              <w:t>Aquatic Chronic 2, H411</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Orientacyjna wartość graniczna narażenia zawodowego (IOEL)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(2-Metoksymetyloetoksy)propanol – mieszanina izomerów: 1-(2-metoksy-1-metyloetoksy)propan-2-ol; 1-(2-metoksy-2-metyloetoksy)propan-2-ol; 2-(2-metoksy-1-metyloetoksy)propan-1-ol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480 mg/m³</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Skóra (Oznakowanie substancji notacją „skóra” oznacza, że wchłanianie substancji przez skórę może być tak samo istotne jak przy narażeniu drogą oddechową).</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3,7-Dimetylookta-2,6-dienal</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27 mg/m³</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54 mg/m³</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Bornane-2-one</w:t>
            </w:r>
            <w:r w:rsidRPr="0069446B">
              <w:rPr>
                <w:noProof w:val="0"/>
                <w:color w:val="auto"/>
              </w:rPr>
              <w:t xml:space="preserve"> </w:t>
            </w:r>
            <w:r w:rsidRPr="0069446B" w:rsidR="00FD53E4">
              <w:rPr>
                <w:noProof/>
                <w:color w:val="auto"/>
              </w:rPr>
              <w:t>(76-22-2)</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Kamfora syntetyczna – bornan-2-on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12 mg/m³</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Drewniany. aromatyczny.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5,9</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masy ciała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masy ciała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masy ciała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masy ciała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19020 mg/kg masy ciała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masy ciała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masy ciała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masy ciała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masy ciała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Bornane-2-one (76-22-2)</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10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(przewlekłe, doustnie, zwierzę/samiec, 2 lata)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masy ciała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Bornane-2-one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Może powodować uszkodzenie narządów.</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masy ciała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masy ciała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(inhalacja, szczur, pył/mgła/dym,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masy ciała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masy ciała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masy ciała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masy ciała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masy ciała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Bornane-2-one (76-22-2)</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3,2 mg/kg masy ciała Animal: rat,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Pr>
                <w:noProof/>
              </w:rPr>
              <w:t>1930 mg/l Test organisms (species): other aquatic crustacea: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0,5 mg/l Test organisms (species): Daphnia magna Duration: '22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Bornane-2-one (76-22-2)</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cèdre et eucalyptus</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Bornane-2-one (76-22-2)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pin-2(3)-ene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linalyl acetate ; pin-2(3)-ene ; linalool ; Eugenol ; cineole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(po narażeniu inhalacyjnym),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Subtancje stałe łatwopalne, kategoria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Substancja stała łatwopalna.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uszkodzenie narządów.</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CITRONELLOL, GERANYL ACETATE, linalyl acetate, linalool, EUGENOL, EUCALYPTOL.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Uzupełnienie do dyfuzora - cèdre et eucalyptus</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Uzupełnienie do dyfuzora - cèdre et eucalyptus</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30.09.2026   Wersja: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4135C98-B58A-44AC-81C8-826608D33A17}"/>
</file>

<file path=customXml/itemProps3.xml><?xml version="1.0" encoding="utf-8"?>
<ds:datastoreItem xmlns:ds="http://schemas.openxmlformats.org/officeDocument/2006/customXml" ds:itemID="{23C0D60E-E155-43C2-ABEB-E1690851AE6F}"/>
</file>

<file path=customXml/itemProps4.xml><?xml version="1.0" encoding="utf-8"?>
<ds:datastoreItem xmlns:ds="http://schemas.openxmlformats.org/officeDocument/2006/customXml" ds:itemID="{892F2C92-711F-41E2-8083-4945881EFE8D}"/>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