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z madera preciosa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coumarin, HEXYL CINNAMAL.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z madera preciosa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z madera preciosa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Nie zawiera substancji wymienionych w załączniku XVII do rozporządzenia REACH (warunki ograniczeń)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coumarin, HEXYL CINNAMAL.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madera preciosa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z madera preciosa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19.10.2026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AC0819-E46A-457C-96F4-DD3F3A6F4D5D}"/>
</file>

<file path=customXml/itemProps3.xml><?xml version="1.0" encoding="utf-8"?>
<ds:datastoreItem xmlns:ds="http://schemas.openxmlformats.org/officeDocument/2006/customXml" ds:itemID="{66E849D5-B198-4FE7-A0D4-73ADD3DAFF0F}"/>
</file>

<file path=customXml/itemProps4.xml><?xml version="1.0" encoding="utf-8"?>
<ds:datastoreItem xmlns:ds="http://schemas.openxmlformats.org/officeDocument/2006/customXml" ds:itemID="{973DC6CF-45B3-4D56-9EC3-01A8DDB901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