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vieux rhum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propan-2-ol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67-63-0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200-661-7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603-117-00-0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2, H225</w:t>
              <w:br/>
              <w:t>Eye Irrit. 2, H319</w:t>
              <w:br/>
              <w:t>STOT SE 3, H336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isoamyl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(PL); substancja z określoną na poziomie Wspólnoty wartością najwyższego dopuszczalnego stężenia w środowisku pracy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123-51-3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204-633-5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Acute Tox. 4 (Poprzez wdychanie), H332 (ATE=1,5 mg/l/4h)</w:t>
              <w:br/>
              <w:t>Skin Irrit. 2, H315</w:t>
              <w:br/>
              <w:t>Eye Dam. 1, H318</w:t>
              <w:br/>
              <w:t>STOT SE 3, H335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(ATE=1580 mg/kg masy ciała)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propan-2-ol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(67-63-0)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Propan-2-ol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900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1200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Skóra (Oznakowanie substancji notacją „skóra” oznacza, że wchłanianie substancji przez skórę może być tak samo istotne jak przy narażeniu drogą oddechową).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4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0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F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4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43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44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1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60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5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46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47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48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E2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isoamyl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(123-51-3)</w:t>
            </w:r>
          </w:p>
        </w:tc>
      </w:tr>
      <w:tr w14:paraId="09AA0061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UE - Orientacyjna wartość graniczna narażenia zawodowego (IOEL)</w:t>
            </w:r>
          </w:p>
        </w:tc>
      </w:tr>
      <w:tr w14:paraId="70951C4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Isoamyl alcohol</w:t>
            </w:r>
          </w:p>
        </w:tc>
      </w:tr>
      <w:tr w14:paraId="70951C4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 mg/m³</w:t>
            </w:r>
          </w:p>
        </w:tc>
      </w:tr>
      <w:tr w14:paraId="70951C4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TWA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 ppm</w:t>
            </w:r>
          </w:p>
        </w:tc>
      </w:tr>
      <w:tr w14:paraId="70951C4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37 mg/m³</w:t>
            </w:r>
          </w:p>
        </w:tc>
      </w:tr>
      <w:tr w14:paraId="70951C4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IOEL STEL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4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COMMISSION DIRECTIVE (EU) 2019/1831</w:t>
            </w:r>
          </w:p>
        </w:tc>
      </w:tr>
      <w:tr w14:paraId="09AA0062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4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3-Metylobutan-1-ol – alkohol izoamylowy</w:t>
            </w:r>
          </w:p>
        </w:tc>
      </w:tr>
      <w:tr w14:paraId="70951C50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 mg/m³</w:t>
            </w:r>
          </w:p>
        </w:tc>
      </w:tr>
      <w:tr w14:paraId="70951C51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37 mg/m³</w:t>
            </w:r>
          </w:p>
        </w:tc>
      </w:tr>
      <w:tr w14:paraId="70951C52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Charakterystyczny. Świeży. Drewniany.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405 mg/kg masy ciała Animal: rat, Animal sex: male, Guideline: OECD Guideline 443 (Extended One-Generation Reproductive Toxicity Study)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1521 mg/kg masy ciała Animal: rat, Animal sex: female, Guideline: OECD Guideline 443 (Extended One-Generation Reproductive Toxicity Study)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propan-2-ol (67-63-0)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wywoływać uczucie senności lub zawroty głowy.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C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80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827634" w:rsidRPr="0069446B" w:rsidP="002B741C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D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19C91D81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vieux rhum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5,32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propan-2-ol (67-63-0)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10000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9640 mg/l Test organisms (species): Pimephales promelas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120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173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353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113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vieux rhum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propan-2-ol (67-63-0)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isoamyl alcohol (123-51-3)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benzyl alcohol ; pin-2(3)-ene ; benzaldehyde ; isoamyl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 ; benzaldehyde ; isoamyl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 ; isoamyl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ciekłe łatwopalne,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narkotyczne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Wysoce łatwopalna ciecz i pary.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E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E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wywoływać uczucie senności lub zawroty głowy.</w:t>
            </w:r>
          </w:p>
        </w:tc>
      </w:tr>
      <w:tr w14:paraId="63F052E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E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E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17.07.2026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vieux rhum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vieux rhum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17.07.2026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0B3C9F-4515-44CF-941E-2C975C43C013}"/>
</file>

<file path=customXml/itemProps3.xml><?xml version="1.0" encoding="utf-8"?>
<ds:datastoreItem xmlns:ds="http://schemas.openxmlformats.org/officeDocument/2006/customXml" ds:itemID="{108B287C-C78E-42FB-9DE8-9E2F92A2C005}"/>
</file>

<file path=customXml/itemProps4.xml><?xml version="1.0" encoding="utf-8"?>
<ds:datastoreItem xmlns:ds="http://schemas.openxmlformats.org/officeDocument/2006/customXml" ds:itemID="{184A84E8-F6A0-4B24-8549-8A5375D2CE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