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verveine et menthe poivrée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citronellol; geraniol; α-hexylcinnamaldehyde; citral; citronellal; cineole; carvone; linalool; linalyl acetate; d-limonene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4,1034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0,4214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0,3143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0,2891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203-376-6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0,2737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carvone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99-49-0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202-759-5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606-148-00-8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0,1491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cineole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470-82-6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207-431-5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Werbena. Kwas cytrynowy. Cytryna.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citronellal (106-23-0)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2500 –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citronellal (106-23-0)</w:t>
            </w:r>
          </w:p>
        </w:tc>
      </w:tr>
      <w:tr w14:paraId="095C82A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citronellal (106-23-0)</w:t>
            </w:r>
          </w:p>
        </w:tc>
      </w:tr>
      <w:tr w14:paraId="42A847A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3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600 mg/kg masy ciała Animal: rat, Animal sex: female, Guideline: other:, Guideline: OECD Guideline 407 (Repeated Dose 28-Day Oral Toxicity Study in Rodents), Guideline: EPA OPPTS 870.3150 (90-Day Oral Toxicity in Non-rodents)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verveine et menthe poivrée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citronellal (106-23-0)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13,33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6,74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57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100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74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74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verveine et menthe poivrée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citronellal (106-23-0)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cineole (470-82-6)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carvone (99-49-0)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cineole ; 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citronellal ; cineole ; linalool ; linalyl acetate ; pin-2(3)-ene ; d-limonene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5.08.2026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et menthe poivrée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verveine et menthe poivrée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5.08.2026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62CF19-8698-43B8-B8B9-DE7553AB1AC2}"/>
</file>

<file path=customXml/itemProps3.xml><?xml version="1.0" encoding="utf-8"?>
<ds:datastoreItem xmlns:ds="http://schemas.openxmlformats.org/officeDocument/2006/customXml" ds:itemID="{BC17CA3F-93E6-4F62-AAD7-CB627B247A77}"/>
</file>

<file path=customXml/itemProps4.xml><?xml version="1.0" encoding="utf-8"?>
<ds:datastoreItem xmlns:ds="http://schemas.openxmlformats.org/officeDocument/2006/customXml" ds:itemID="{494DE16E-99D6-463F-ADED-F8E1C77F3F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