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verveine et menthe poivrée 10%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 (indiquer ici votre n° 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Może powodować reakcję alergiczną skóry.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citronellol; α-hexylcinnamaldehyde; geraniol; cineole; citronellal; citral; linalool; d-limonene; carvone; linalyl acetate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 w:rsidR="00FA7F7F">
              <w:rPr>
                <w:noProof/>
              </w:rPr>
              <w:t>H317 - Może powodować alergię skórną.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P302+P352 - W PRZYPADKU KONTAKTU ZE SKÓRĄ: obficie spłukać wodą i mydłem.</w:t>
              <w:br/>
              <w:t>P333+P313 - W przypadku podrażnienia lub wysypki skórnej: skonsultować się z lekarzem.</w:t>
              <w:br/>
              <w:t>P501 - Zawartość/pojemnik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tbl>
      <w:tblPr>
        <w:tblStyle w:val="SDSTableWithBordersWithHeaderRow"/>
        <w:tblW w:w="10495" w:type="dxa"/>
        <w:tblLayout w:type="fixed"/>
        <w:tblLook w:val="04A0"/>
      </w:tblPr>
      <w:tblGrid>
        <w:gridCol w:w="3969"/>
        <w:gridCol w:w="6526"/>
      </w:tblGrid>
      <w:tr w14:paraId="6251E307" w14:textId="77777777" w:rsidTr="0069446B">
        <w:tblPrEx>
          <w:tblW w:w="10495" w:type="dxa"/>
          <w:tblLayout w:type="fixed"/>
          <w:tblLook w:val="04A0"/>
        </w:tblPrEx>
        <w:trPr>
          <w:trHeight w:val="20"/>
          <w:tblHeader/>
        </w:trPr>
        <w:tc>
          <w:tcPr>
            <w:tcW w:w="10495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47BAF" w:rsidRPr="0069446B" w:rsidP="006A5033" w14:paraId="5BC2FC32" w14:textId="6E368FE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Składnik</w:t>
            </w:r>
          </w:p>
        </w:tc>
      </w:tr>
      <w:tr w14:paraId="66B1B816" w14:textId="77777777" w:rsidTr="0069446B">
        <w:tblPrEx>
          <w:tblW w:w="10495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EE2C69" w14:paraId="5409109E" w14:textId="3B1ED55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niewłączona(-e) do wykazu ustanowionego zgodnie z art. 59 ust. 1 rozporządzenia REACH ze względu na właściwości zaburzające gospodarkę hormonalną lub niezidentyfikowana(-e) jako zaburzająca(-e) gospodarkę hormonalną zgodnie z kryteriami określonymi w rozporządzeniu delegowanym Komisji (UE) 2017/2100 lub rozporządzeniu Komisji (UE) 2018/605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573B2F" w:rsidRPr="0069446B" w:rsidP="00EE2C69" w14:paraId="384C6B00" w14:textId="2079666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geraniol (106-24-1)</w:t>
            </w:r>
          </w:p>
        </w:tc>
      </w:tr>
    </w:tbl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citral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5392-40-5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226-394-6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605-019-00-3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5,862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1, H317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geraniol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106-24-1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203-377-1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603-241-00-5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0,602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Dam. 1, H318</w:t>
              <w:br/>
              <w:t>Skin Sens. 1, H317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78-70-6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201-134-4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603-235-00-2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0,449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5989-27-5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227-813-5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601-096-00-2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0,413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3, H226</w:t>
              <w:br/>
              <w:t>Skin Irrit. 2, H315</w:t>
              <w:br/>
              <w:t>Skin Sens. 1B, H317</w:t>
              <w:br/>
              <w:t>Asp. Tox. 1, H304</w:t>
              <w:br/>
              <w:t>Aquatic Acute 1, H400 (M=1)</w:t>
              <w:br/>
              <w:t>Aquatic Chronic 3, H412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α-hexylcinnamaldehyde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101-86-0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202-983-3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2, H411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citronellal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106-23-0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203-376-6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0,391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carvone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99-49-0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202-759-5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606-148-00-8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0,213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F5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115-95-7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204-116-4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6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cineole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470-82-6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207-431-5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0,188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3, H226</w:t>
              <w:br/>
              <w:t>Skin Sens. 1B, H317</w:t>
            </w:r>
          </w:p>
        </w:tc>
      </w:tr>
      <w:tr w14:paraId="73AD14F7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citronellol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106-22-9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203-375-0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0,181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8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  <w:p w:rsidR="00827634" w:rsidRPr="0069446B" w:rsidP="009B0F8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100-51-6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202-859-9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603-057-00-5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(ATE=1570 mg/kg)</w:t>
              <w:br/>
              <w:t>Eye Irrit. 2, H319</w:t>
              <w:br/>
              <w:t>Skin Sens. 1B,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Krajowe wartości najwyższych dopuszczalnych stężeń w środowisku pracy i dopuszczalne wartości biologiczne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citral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(5392-40-5)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3,7-Dimetylookta-2,6-dienal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54 mg/m³</w:t>
            </w:r>
          </w:p>
        </w:tc>
      </w:tr>
      <w:tr w14:paraId="70951C3C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p w:rsidR="000251E6" w:rsidRPr="0069446B" w:rsidP="00DA2C0C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F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benzyl alcohol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(100-51-6)</w:t>
            </w:r>
          </w:p>
        </w:tc>
      </w:tr>
      <w:tr w14:paraId="09AA005E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D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Fenylometanol</w:t>
            </w:r>
          </w:p>
        </w:tc>
      </w:tr>
      <w:tr w14:paraId="70951C3E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240 mg/m³</w:t>
            </w:r>
          </w:p>
        </w:tc>
      </w:tr>
      <w:tr w14:paraId="70951C3F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bookmarkStart w:id="2" w:name="_Hlk205902293"/>
    <w:bookmarkEnd w:id="2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Werbena. Kwas cytrynowy. Cytryna. Kwiatowy.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3600 mg/kg masy ciała Animal: rat, 95% CL: 2840 - 4570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citronellal (106-23-0)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2000 mg/kg masy ciała Animal: rat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2500 –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≈ 6800 mg/kg masy ciała Animal: rat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2000 mg/kg masy ciała Animal: rat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masy ciała Animal: rat, Guideline: OECD Guideline 401 (Acute Oral Toxicity), 95% CL: 2440 - 3180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3120 mg/kg masy ciała Animal: mouse, Guideline: OECD Guideline 401 (Acute Oral Toxicity), 95% CL: 2620 - 3620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5610 mg/kg masy ciała Animal: rabbit, Guideline: OECD Guideline 402 (Acute Dermal Toxicity), 95% CL: 3578 - 8374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02D6B5A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9000 mg/kg masy ciała Animal: rat</w:t>
            </w:r>
          </w:p>
        </w:tc>
      </w:tr>
      <w:tr w14:paraId="6700D316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0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12A600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1580 mg/kg masy ciała Animal: mouse, Guideline: OECD Guideline 401 (Acute Oral Toxicity), 95% CL: 1410 - 1770</w:t>
            </w:r>
          </w:p>
        </w:tc>
      </w:tr>
      <w:tr w14:paraId="6700D317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EPA OTS 798.1100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4,178 mg/l air Animal: rat, Guideline: OECD Guideline 403 (Acute Inhalation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19EADB4D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61EBDDE8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095C82A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4CC5AB0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C01117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3E0104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2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citronellal (106-23-0)</w:t>
            </w:r>
          </w:p>
        </w:tc>
      </w:tr>
      <w:tr w14:paraId="095C82A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3E0104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3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95C82A6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600 mg/kg masy ciała Animal: rat, Animal sex: female, Guideline: other: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citronellol (106-22-9)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2000 mg/kg masy ciała Animal: rat, Guideline: other:</w:t>
            </w:r>
          </w:p>
        </w:tc>
      </w:tr>
      <w:tr w14:paraId="1DE6168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E7C06A1" w14:textId="0EA9F377">
            <w:pPr>
              <w:pStyle w:val="SDSTableTextNormal"/>
              <w:rPr>
                <w:noProof w:val="0"/>
                <w:lang w:val="de-DE"/>
              </w:rPr>
            </w:pPr>
            <w:r w:rsidRPr="0069446B">
              <w:rPr>
                <w:noProof/>
                <w:lang w:val="de-DE"/>
              </w:rPr>
              <w:t>NOAEC (inhalacja, szczur, pył/mgła/dym,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1724A9" w14:textId="17F52C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0,063 mg/l air Animal: rat, Guideline: OECD Guideline 412 (Subacute Inhalation Toxicity: 28-Day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300 mg/kg masy ciała Animal: rat, Guideline: other:,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cineole (470-82-6)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600 mg/kg masy ciała Animal: rat, Animal sex: female, Guideline: other:, Guideline: OECD Guideline 407 (Repeated Dose 28-Day Oral Toxicity Study in Rodents), Guideline: EPA OPPTS 870.3150 (90-Day Oral Toxicity in Non-rodents)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citronellal (106-23-0)</w:t>
            </w:r>
          </w:p>
        </w:tc>
      </w:tr>
      <w:tr w14:paraId="42A847A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F68F7FC" w14:textId="315015C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8FE6653" w14:textId="5FF84CD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 ppm Animal: rat, Animal sex: female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453 (Combined Chronic Toxicity / Carcinogenicity Studies)</w:t>
            </w:r>
          </w:p>
        </w:tc>
      </w:tr>
      <w:tr w14:paraId="7DB1732F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12186D5" w14:textId="59F5132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NOAEC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3E3E78EA" w14:textId="191818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34 ppm Animal: rat, Animal sex: female</w:t>
            </w:r>
          </w:p>
        </w:tc>
      </w:tr>
      <w:tr w14:paraId="6B0A5EE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7C20CFC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zwierzę/samiec,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A78E587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D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42A847A9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315015C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5FF84CD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 ppm Animal: rat, Animal sex: female</w:t>
            </w:r>
          </w:p>
        </w:tc>
      </w:tr>
      <w:tr w14:paraId="07CBBCD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453 (Combined Chronic Toxicity / Carcinogenicity Studies)</w:t>
            </w:r>
          </w:p>
        </w:tc>
      </w:tr>
      <w:tr w14:paraId="7DB17330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59F5132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NOAEC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191818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34 ppm Animal: rat, Animal sex: female</w:t>
            </w:r>
          </w:p>
        </w:tc>
      </w:tr>
      <w:tr w14:paraId="6B0A5EE9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zwierzę/samiec,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E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32F42FBE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F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32F42FBF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E0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07CBBCD9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masy ciała Animal: rat, Guideline: other: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verveine et menthe poivrée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4,851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Produkt ten nie jest uważany za toksyczny dla organizmów wodnych i nie powoduje długotrwałych, niekorzystnych zmian w środowisku naturalnym.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citronellol (106-22-9)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14,66 mg/l Test organisms (species): Leuciscus idus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17,48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2,4 mg/l Test organisms (species):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22 mg/l Test organisms (species): Danio rerio (previous name: Brachydanio rerio)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10,8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13,1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cineole (470-82-6)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57 mg/l Test organisms (species): Oncorhynchus mykiss (previous name: Salmo gairdneri)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100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74 mg/l Test organisms (species): Raphidocelis subcapitata (previous names: Pseudokirchneriella subcapitata, Selenastrum capricornutum)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74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citronellal (106-23-0)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22 mg/l Test organisms (species): Leuciscus idus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8,7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13,33 mg/l Test organisms (species): Desmodesmus subspicatus (previous name: Scenedesmus subspicatus)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6,74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6,78 mg/l Test organisms (species): Leuciscus idus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Daphnia magna</w:t>
            </w:r>
          </w:p>
        </w:tc>
      </w:tr>
      <w:tr w14:paraId="66FAA3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103,8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562CCB6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88,3 mg/l Test organisms (species): Desmodesmus subspicatus (previous name: Scenedesmus subspicatus)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156,7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562CCB6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720 μg/l Test organisms (species): Pimephales promelas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702 μg/l Test organisms (species): Pimephales promelas</w:t>
            </w:r>
          </w:p>
        </w:tc>
      </w:tr>
      <w:tr w14:paraId="758D634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0,307 mg/l Test organisms (species): Daphnia magna</w:t>
            </w:r>
          </w:p>
        </w:tc>
      </w:tr>
      <w:tr w14:paraId="3762B1C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C25C54D" w14:textId="5D87D3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0EEB38" w14:textId="3612B69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0,51 mg/l Test organisms (species): Daphnia magna</w:t>
            </w:r>
          </w:p>
        </w:tc>
      </w:tr>
      <w:tr w14:paraId="66FAA36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0,32 mg/l Test organisms (species): Raphidocelis subcapitata (previous names: Pseudokirchneriella subcapitata, Selenastrum capricornutum)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0,214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562CCB6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 mg/l Test organisms (species): Cyprinus carpio</w:t>
            </w:r>
          </w:p>
        </w:tc>
      </w:tr>
      <w:tr w14:paraId="758D63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66FAA36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13,1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62CCB6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460 mg/l Test organisms (species): Pimephales promelas</w:t>
            </w:r>
          </w:p>
        </w:tc>
      </w:tr>
      <w:tr w14:paraId="758D634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Daphnia magna</w:t>
            </w:r>
          </w:p>
        </w:tc>
      </w:tr>
      <w:tr w14:paraId="66FAA3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770 mg/l Test organisms (species): Raphidocelis subcapitata (previous names: Pseudokirchneriella subcapitata, Selenastrum capricornutum)</w:t>
            </w:r>
          </w:p>
        </w:tc>
      </w:tr>
      <w:tr w14:paraId="14947BF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mg/l Test organisms (species): Raphidocelis subcapitata (previous names: Pseudokirchneriella subcapitata, Selenastrum capricornutum)</w:t>
            </w:r>
          </w:p>
        </w:tc>
      </w:tr>
      <w:tr w14:paraId="3112BB7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76,828 mg/l Test organisms (species): other: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48,897 mg/l Test organisms (species): other: Duration: '30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Świeca verveine et menthe poivrée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citronellol (106-22-9)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α-hexylcinnamaldehyde (101-86-0)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cineole (470-82-6)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citronellal (106-23-0)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A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2D6A99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B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carvone (99-49-0)</w:t>
            </w:r>
          </w:p>
        </w:tc>
      </w:tr>
      <w:tr w14:paraId="2D6A99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2D6A99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D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2D6A99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cineole ; d-limonene ; pin-2(3)-ene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geraniol ; cineole ; citronellal ; linalool ; d-limonene ; linalyl acetate ; pin-2(3)-ene ; benzyl alcohol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d-limonene ; pin-2(3)-ene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Asp. Tox.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Niebezpieczeństwo w przypadku aspiracji, kategoria 1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Dam.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Poważne uszkodzenie oczu/działanie drażniące na oczy, kategoria 1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Ciecze łatwopalne, kategoria 3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H226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Ciecz i opary łatwopalne.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być śmiertelny w przypadku spożycia i dostania się do dróg oddechowych.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uszkodzenia oczu.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D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16.07.2026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16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16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16.07.2026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16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verveine et menthe poivrée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verveine et menthe poivrée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16.07.2026   Wersja: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AC205BB-FD16-4A96-8327-D2675E215660}"/>
</file>

<file path=customXml/itemProps3.xml><?xml version="1.0" encoding="utf-8"?>
<ds:datastoreItem xmlns:ds="http://schemas.openxmlformats.org/officeDocument/2006/customXml" ds:itemID="{4A35686E-51B2-4FF3-989B-6E920CDEB13C}"/>
</file>

<file path=customXml/itemProps4.xml><?xml version="1.0" encoding="utf-8"?>
<ds:datastoreItem xmlns:ds="http://schemas.openxmlformats.org/officeDocument/2006/customXml" ds:itemID="{8DA6D60A-E87F-4348-BFDC-80B321553AD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16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