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verveine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 Nie sklasyfikowany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citronellol; d-limonene; citral; nerol; geraniol; linalool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5,045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0,706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nerol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0,437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Hesperidaceae. Werbena. Kwas cytrynowy. Charakterystyczny.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4500 mg/kg masy ciała Animal: rat, Animal sex: male, Guideline: OECD Guideline 401 (Acute Oral Toxicity), 95% CL: 3400 - 5600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verveine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20,3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32,4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verveine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citronellol ; pin-2(3)-ene ; d-limonene ; nerol ; geraniol ; linalool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Sol. Niesklasyfikowane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 Nie sklasyfikowany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Sol. Niesklasyfikowane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eksperta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5.08.2026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5.08.2026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verveine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verveine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5.08.2026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5F0B62-968F-4BA7-BE33-6FE1B931BAE3}"/>
</file>

<file path=customXml/itemProps3.xml><?xml version="1.0" encoding="utf-8"?>
<ds:datastoreItem xmlns:ds="http://schemas.openxmlformats.org/officeDocument/2006/customXml" ds:itemID="{C6FF9579-075A-49E0-A12D-0B8D27EA4104}"/>
</file>

<file path=customXml/itemProps4.xml><?xml version="1.0" encoding="utf-8"?>
<ds:datastoreItem xmlns:ds="http://schemas.openxmlformats.org/officeDocument/2006/customXml" ds:itemID="{751AE2B7-4117-4C92-AE41-E487620C22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