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verveine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Subtancje stałe łatwopalne, kategoria 2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H228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3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GHS02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citronellol; d-limonene; citral; nerol; geraniol; linalool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H228 - Substancja stała łatwopalna.</w:t>
              <w:br/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tbl>
      <w:tblPr>
        <w:tblStyle w:val="SDSTableWithBordersWithHeaderRow"/>
        <w:tblW w:w="10495" w:type="dxa"/>
        <w:tblLayout w:type="fixed"/>
        <w:tblLook w:val="04A0"/>
      </w:tblPr>
      <w:tblGrid>
        <w:gridCol w:w="3969"/>
        <w:gridCol w:w="6526"/>
      </w:tblGrid>
      <w:tr w14:paraId="6251E307" w14:textId="77777777" w:rsidTr="0069446B">
        <w:tblPrEx>
          <w:tblW w:w="10495" w:type="dxa"/>
          <w:tblLayout w:type="fixed"/>
          <w:tblLook w:val="04A0"/>
        </w:tblPrEx>
        <w:trPr>
          <w:trHeight w:val="20"/>
          <w:tblHeader/>
        </w:trPr>
        <w:tc>
          <w:tcPr>
            <w:tcW w:w="10495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5BC2FC32" w14:textId="6E368FE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66B1B816" w14:textId="77777777" w:rsidTr="0069446B">
        <w:tblPrEx>
          <w:tblW w:w="10495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EE2C69" w14:paraId="5409109E" w14:textId="3B1ED55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niewłączona(-e) do wykazu ustanowionego zgodnie z art. 59 ust. 1 rozporządzenia REACH ze względu na właściwości zaburzające gospodarkę hormonalną lub niezidentyfikowana(-e) jako zaburzająca(-e) gospodarkę hormonalną zgodnie z kryteriami określonymi w rozporządzeniu delegowanym Komisji (UE) 2017/2100 lub rozporządzeniu Komisji (UE) 2018/605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573B2F" w:rsidRPr="0069446B" w:rsidP="00EE2C69" w14:paraId="384C6B00" w14:textId="2079666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 (106-24-1)</w:t>
            </w:r>
          </w:p>
        </w:tc>
      </w:tr>
    </w:tbl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5,045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203-377-1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603-241-00-5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0,706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Dam. 1, H318</w:t>
              <w:br/>
              <w:t>Skin Sens. 1,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5989-27-5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227-813-5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601-096-00-2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Irrit. 2, H315</w:t>
              <w:br/>
              <w:t>Skin Sens. 1B, H317</w:t>
              <w:br/>
              <w:t>Asp. Tox. 1, H304</w:t>
              <w:br/>
              <w:t>Aquatic Acute 1, H400 (M=1)</w:t>
              <w:br/>
              <w:t>Aquatic Chronic 3, H412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nerol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203-378-7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0,437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106-22-9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203-375-0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0,301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Hesperidaceae. Werbena. Kwas cytrynowy. Charakterystyczny.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nerol (106-25-2)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4500 mg/kg masy ciała Animal: rat, Animal sex: male, Guideline: OECD Guideline 401 (Acute Oral Toxicity), 95% CL: 3400 - 5600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3600 mg/kg masy ciała Animal: rat, 95% CL: 2840 - 4570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3E0104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95C82A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600 mg/kg masy ciała Animal: rat, Animal sex: female,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2000 mg/kg masy ciała Animal: rat, Guideline: other:</w:t>
            </w:r>
          </w:p>
        </w:tc>
      </w:tr>
      <w:tr w14:paraId="1DE6168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E7C06A1" w14:textId="0EA9F377">
            <w:pPr>
              <w:pStyle w:val="SDSTableTextNormal"/>
              <w:rPr>
                <w:noProof w:val="0"/>
                <w:lang w:val="de-DE"/>
              </w:rPr>
            </w:pPr>
            <w:r w:rsidRPr="0069446B">
              <w:rPr>
                <w:noProof/>
                <w:lang w:val="de-DE"/>
              </w:rPr>
              <w:t>NOAEC (inhalacja, szczur, pył/mgła/dym,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1724A9" w14:textId="17F52C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0,063 mg/l air Animal: rat, Guideline: OECD Guideline 412 (Subacute Inhalation Toxicity: 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other:,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verveine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14,66 mg/l Test organisms (species): Leuciscus idus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17,48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2,4 mg/l Test organisms (species):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720 μg/l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702 μg/l Test organisms (species): Pimephales promelas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0,307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0,51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0,32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nerol (106-25-2)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20,3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32,4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22 mg/l Test organisms (species): Danio rerio (previous name: Brachydanio rerio)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10,8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verveine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nerol (106-25-2)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 xml:space="preserve">HP3 - »Łatwopalne«: </w:t>
              <w:br/>
              <w:t xml:space="preserve">– łatwopalne odpady ciekłe: odpady ciekłe o temperaturze zapłonu poniżej 60 °C lub odpadowy olej gazowy, olej napędowy i lekkie oleje opałowe o temperaturze zapłonu &gt; 55 °C oraz ≤ 75 °C; </w:t>
              <w:br/>
              <w:t xml:space="preserve">– łatwopalne odpady piroforyczne ciekłe i stałe: stałe lub ciekłe odpady, które nawet w małych ilościach mogą ulec zapaleniu w ciągu pięciu minut po wejściu w kontakt z powietrzem; </w:t>
              <w:br/>
              <w:t xml:space="preserve">– łatwopalne odpady stałe: odpady stałe, które łatwo ulegają zapaleniu lub w wyniku tarcia mogą powodować zapalenie lub przyczyniać się do spalania; </w:t>
              <w:br/>
              <w:t xml:space="preserve">– łatwopalne odpady gazowe: odpady gazowe, które łatwo ulegają zapaleniu w powietrzu w temperaturze 20 °C i przy ciśnieniu normalnym 101,3 kPa; </w:t>
              <w:br/>
              <w:t xml:space="preserve">– odpady reagujące z wodą: odpady, które w kontakcie z wodą wydzielają gazy palne w niebezpiecznych iloś­ ciach; </w:t>
              <w:br/>
              <w:t>– inne łatwopalne odpady: wyroby aerozolowe łatwopalne, łatwopalne odpady samonagrzewające się, łatwopalne nadtlenki organiczne i łatwopalne odpady samoreaktywne.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citronellol ; pin-2(3)-ene ; d-limonene ; nerol ; geraniol ; linalool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Ciecze łatwopalne, kategoria 3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Sol.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Subtancje stałe łatwopalne,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 i opary łatwopalne.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stała łatwopalna.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Flam. Sol. 2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H228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5.08.2026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5.08.2026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verveine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verveine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5.08.2026   Wersja: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8" Type="http://schemas.openxmlformats.org/officeDocument/2006/relationships/header" Target="header1.xml"/><Relationship Id="rId18" Type="http://schemas.openxmlformats.org/officeDocument/2006/relationships/customXml" Target="../customXml/item4.xml"/><Relationship Id="rId3" Type="http://schemas.openxmlformats.org/officeDocument/2006/relationships/fontTable" Target="fontTable.xml"/><Relationship Id="rId12" Type="http://schemas.openxmlformats.org/officeDocument/2006/relationships/header" Target="header3.xml"/><Relationship Id="rId7" Type="http://schemas.openxmlformats.org/officeDocument/2006/relationships/image" Target="media/image2.png"/><Relationship Id="rId17" Type="http://schemas.openxmlformats.org/officeDocument/2006/relationships/customXml" Target="../customXml/item3.xml"/><Relationship Id="rId2" Type="http://schemas.openxmlformats.org/officeDocument/2006/relationships/webSettings" Target="webSettings.xml"/><Relationship Id="rId16" Type="http://schemas.openxmlformats.org/officeDocument/2006/relationships/customXml" Target="../customXml/item2.xml"/><Relationship Id="rId1" Type="http://schemas.openxmlformats.org/officeDocument/2006/relationships/settings" Target="settings.xml"/><Relationship Id="rId11" Type="http://schemas.openxmlformats.org/officeDocument/2006/relationships/footer" Target="footer2.xml"/><Relationship Id="rId6" Type="http://schemas.openxmlformats.org/officeDocument/2006/relationships/image" Target="media/image1.png"/><Relationship Id="rId15" Type="http://schemas.openxmlformats.org/officeDocument/2006/relationships/styles" Target="styles.xml"/><Relationship Id="rId5" Type="http://schemas.openxmlformats.org/officeDocument/2006/relationships/hyperlink" Target="mailto: office@labsys.fr" TargetMode="External"/><Relationship Id="rId10" Type="http://schemas.openxmlformats.org/officeDocument/2006/relationships/footer" Target="footer1.xml"/><Relationship Id="rId14" Type="http://schemas.openxmlformats.org/officeDocument/2006/relationships/theme" Target="theme/theme1.xml"/><Relationship Id="rId4" Type="http://schemas.openxmlformats.org/officeDocument/2006/relationships/customXml" Target="../customXml/item1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7717729-CA39-4FA3-99DC-89863EB554F2}"/>
</file>

<file path=customXml/itemProps3.xml><?xml version="1.0" encoding="utf-8"?>
<ds:datastoreItem xmlns:ds="http://schemas.openxmlformats.org/officeDocument/2006/customXml" ds:itemID="{64DC55E2-BDC5-4119-8ACE-2074A47FE89B}"/>
</file>

<file path=customXml/itemProps4.xml><?xml version="1.0" encoding="utf-8"?>
<ds:datastoreItem xmlns:ds="http://schemas.openxmlformats.org/officeDocument/2006/customXml" ds:itemID="{123D48F3-8F3C-49C8-A361-531C19A429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