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tiramisu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alcohol; α-methylcinnamaldehyde; 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5,962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0,0084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 określoną na poziomie Wspólnoty wartością najwyższego dopuszczalnego stężenia w środowisku pracy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Orientacyjna wartość graniczna narażenia zawodowego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Pikantny.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masy ciała Animal: rat, Animal sex: female,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masy ciała Animal: rat, Animal sex: male, Guideline: other: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masy ciała Animal: mouse,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1000 mg/kg masy ciała Animal: rat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tiramisu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tiramisu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tiramisu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tiramisu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31.07.2026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EEB956-3919-4949-A74A-8BEDEDED3A2B}"/>
</file>

<file path=customXml/itemProps3.xml><?xml version="1.0" encoding="utf-8"?>
<ds:datastoreItem xmlns:ds="http://schemas.openxmlformats.org/officeDocument/2006/customXml" ds:itemID="{C952473A-91F9-4932-AF20-9EBE502F5674}"/>
</file>

<file path=customXml/itemProps4.xml><?xml version="1.0" encoding="utf-8"?>
<ds:datastoreItem xmlns:ds="http://schemas.openxmlformats.org/officeDocument/2006/customXml" ds:itemID="{82815E31-469B-425E-9D33-67651BC457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