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thé vert et osmanthus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geraniol; nerol; linalool; d-limonene; alpha-iso-methylionone;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Herbata. Owocowy.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vert et osmanthus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thé vert et osmanthus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geraniol ; nerol ; citral ; linalool ; pin-2(3)-ene ; d-limonene ; alpha-iso-methylionone ; Alcool benzylique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benzyl acetate ; pin-2(3)-ene ; d-limonene ; alpha-iso-methylionone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vert et osmanthus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vert et osmanthus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1D06CA-656C-4CED-8DBC-0752BB94D5F6}"/>
</file>

<file path=customXml/itemProps3.xml><?xml version="1.0" encoding="utf-8"?>
<ds:datastoreItem xmlns:ds="http://schemas.openxmlformats.org/officeDocument/2006/customXml" ds:itemID="{89B230A2-F046-438B-8589-90AB7C8DBC97}"/>
</file>

<file path=customXml/itemProps4.xml><?xml version="1.0" encoding="utf-8"?>
<ds:datastoreItem xmlns:ds="http://schemas.openxmlformats.org/officeDocument/2006/customXml" ds:itemID="{CA081EBF-D5A7-42AC-BAF3-4DE63FB3C2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