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thé chaï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Acétate de 4-tert-butylcyclohexyle; 1-(1,2,3,4,5,6,7,8-octahydro-2,3,8,8-tetramethyl-2-naphthyl)ethan-1-one; coumarin; eter metylowy cedrowy; cineole; alpha-iso-methylionone; cashmeran; cinnamaldehyde; Eugenol; (E)-1-(2,6,6-trimethyl-1,3-cyclohexadien-1-yl)-2-buten-1-one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Propanoic acid, 2-(1,1-dimethylpropoxy)-, propyl ester, (2S)-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319002-92-1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437-530-0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cineole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470-82-6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207-431-5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Herbata.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Propanoic acid, 2-(1,1-dimethylpropoxy)-, propyl ester, (2S)- (319002-92-1)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423 (Acute Oral toxicity - Acute Toxic Class Method), Guideline: EU Method B.1 tris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masy ciała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masy ciała Animal: rat, Animal sex: male, Guideline: OECD Guideline 421 (Reproduction / Developmental Toxicity Screening Test)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Propanoic acid, 2-(1,1-dimethylpropoxy)-, propyl ester, (2S)- (319002-92-1)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Rodents), Guideline: EU Method B.7 (Repeated Dose (28 Days) Toxicity (Oral))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600 mg/kg masy ciała Animal: rat, Animal sex: female, Guideline: other:, Guideline: OECD Guideline 407 (Repeated Dose 28-Day Oral Toxicity Study in Rodents), Guideline: EPA OPPTS 870.3150 (90-Day Oral Toxicity in Non-rodents)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thé chaï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Propanoic acid, 2-(1,1-dimethylpropoxy)-, propyl ester, (2S)- (319002-92-1)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85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74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74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thé chaï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Propanoic acid, 2-(1,1-dimethylpropoxy)-, propyl ester, (2S)- (319002-92-1)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cineole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cineole ; cinnamaldehyde ; Eugenol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29.07.2026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29.07.2026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thé chaï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thé chaï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29.07.2026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7AB16F-62A2-4161-B8E6-790D758CD192}"/>
</file>

<file path=customXml/itemProps3.xml><?xml version="1.0" encoding="utf-8"?>
<ds:datastoreItem xmlns:ds="http://schemas.openxmlformats.org/officeDocument/2006/customXml" ds:itemID="{EF55194C-3694-4190-A4CA-03CC4707D0A4}"/>
</file>

<file path=customXml/itemProps4.xml><?xml version="1.0" encoding="utf-8"?>
<ds:datastoreItem xmlns:ds="http://schemas.openxmlformats.org/officeDocument/2006/customXml" ds:itemID="{EC04D637-B4BB-4CF7-82DA-461A777BE4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