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chaï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Acétate de 4-tert-butylcyclohexyle; 1-(1,2,3,4,5,6,7,8-octahydro-2,3,8,8-tetramethyl-2-naphthyl)ethan-1-one; coumarin; eter metylowy cedrowy; cineole; alpha-iso-methylionone; cashmeran; cinnamaldehyde; Eugenol;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Propanoic acid, 2-(1,1-dimethylpropoxy)-, propyl ester, (2S)-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319002-92-1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437-530-0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Herbata.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chaï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chaï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Propanoic acid, 2-(1,1-dimethylpropoxy)-, propyl ester, (2S)- (319002-92-1)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cineole ; cinnamaldehyde ; Eugenol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chaï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chaï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34C30-D9AE-4E72-A337-798BB72D2290}"/>
</file>

<file path=customXml/itemProps3.xml><?xml version="1.0" encoding="utf-8"?>
<ds:datastoreItem xmlns:ds="http://schemas.openxmlformats.org/officeDocument/2006/customXml" ds:itemID="{14050B8D-24E6-403F-BD96-228AF9CA9259}"/>
</file>

<file path=customXml/itemProps4.xml><?xml version="1.0" encoding="utf-8"?>
<ds:datastoreItem xmlns:ds="http://schemas.openxmlformats.org/officeDocument/2006/customXml" ds:itemID="{91E0B785-8AEB-45BC-AA42-56F39D5FF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