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sirop d'érable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cashmeran; benzyl alcohol; cedrenol; 4-hydroxy-2,5-dimethylfuran-2(3H)-one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cedrenol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28231-03-0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248-917-7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Corr. 1B, H314</w:t>
              <w:br/>
              <w:t>Eye Dam. 1, H318</w:t>
              <w:br/>
              <w:t>Skin Sens. 1A,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Wanilia.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masy ciała Animal: rat, Animal sex: female, Guideline: OECD Guideline 401 (Acute Oral Toxicity), 95% CL: 2043 - 3529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masy ciała Animal: rat, Animal sex: male, Guideline: OECD Guideline 421 (Reproduction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sirop d'érable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sirop d'érable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cedrenol (28231-03-0)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żrące/drażniące na skórę, kategoria 1, podkategoria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oparzenia skóry oraz uszkodzenia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sirop d'érable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sirop d'érable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28.07.2026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567D1E-66EC-4EFA-AD8A-2C2BE50FA6BA}"/>
</file>

<file path=customXml/itemProps3.xml><?xml version="1.0" encoding="utf-8"?>
<ds:datastoreItem xmlns:ds="http://schemas.openxmlformats.org/officeDocument/2006/customXml" ds:itemID="{F2A08D5E-D888-4845-B75F-C85459A32321}"/>
</file>

<file path=customXml/itemProps4.xml><?xml version="1.0" encoding="utf-8"?>
<ds:datastoreItem xmlns:ds="http://schemas.openxmlformats.org/officeDocument/2006/customXml" ds:itemID="{BC9421BE-84B3-416B-8C2D-D263D7416D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