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Swieca savon de Marseille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DIPHENYL ETHER, linalool, linalyl acetate, CITRONELLAL, coumarin, cineole, geraniol; (2E)-3,7-dimethylocta-2,6-dien-1-ol, ISOBORNEOL.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tbl>
      <w:tblPr>
        <w:tblStyle w:val="SDSTableWithBordersWithHeaderRow"/>
        <w:tblW w:w="10495" w:type="dxa"/>
        <w:tblLayout w:type="fixed"/>
        <w:tblLook w:val="04A0"/>
      </w:tblPr>
      <w:tblGrid>
        <w:gridCol w:w="3969"/>
        <w:gridCol w:w="6526"/>
      </w:tblGrid>
      <w:tr w14:paraId="6251E307" w14:textId="77777777" w:rsidTr="0069446B">
        <w:tblPrEx>
          <w:tblW w:w="10495" w:type="dxa"/>
          <w:tblLayout w:type="fixed"/>
          <w:tblLook w:val="04A0"/>
        </w:tblPrEx>
        <w:trPr>
          <w:trHeight w:val="20"/>
          <w:tblHeader/>
        </w:trPr>
        <w:tc>
          <w:tcPr>
            <w:tcW w:w="10495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5BC2FC32" w14:textId="6E368FE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66B1B816" w14:textId="77777777" w:rsidTr="0069446B">
        <w:tblPrEx>
          <w:tblW w:w="10495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EE2C69" w14:paraId="5409109E" w14:textId="3B1ED55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niewłączona(-e) do wykazu ustanowionego zgodnie z art. 59 ust. 1 rozporządzenia REACH ze względu na właściwości zaburzające gospodarkę hormonalną lub niezidentyfikowana(-e) jako zaburzająca(-e) gospodarkę hormonalną zgodnie z kryteriami określonymi w rozporządzeniu delegowanym Komisji (UE) 2017/2100 lub rozporządzeniu Komisji (UE) 2018/605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573B2F" w:rsidRPr="0069446B" w:rsidP="00EE2C69" w14:paraId="384C6B00" w14:textId="2079666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 (106-24-1)</w:t>
            </w:r>
          </w:p>
        </w:tc>
      </w:tr>
    </w:tbl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diphenyl ether</w:t>
            </w:r>
          </w:p>
          <w:p w:rsidR="00827634" w:rsidRPr="0069446B" w:rsidP="009B0F88" w14:paraId="147D3D58" w14:textId="33B2CE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 określoną na poziomie Wspólnoty wartością najwyższego dopuszczalnego stężenia w środowisku pracy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101-84-8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202-981-2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1, H317</w:t>
              <w:br/>
              <w:t>Aquatic Acute 1, H400</w:t>
              <w:br/>
              <w:t>Aquatic Chronic 3, H412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0,4305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0,4151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citronellal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106-23-0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203-376-6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0,2688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0,2107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Sens. 1B,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cineole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470-82-6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207-431-5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0,1736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Sens. 1B,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203-377-1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603-241-00-5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0,1631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Dam. 1, H318</w:t>
              <w:br/>
              <w:t>Skin Sens. 1, H317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4-tert-butylcyclohexyl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32210-23-4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250-954-9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B077C8" w:rsidRPr="0069446B" w:rsidP="00B077C8" w14:paraId="76C830A6" w14:textId="7C05BC4C">
      <w:pPr>
        <w:pStyle w:val="SDSTextHeading3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Krajowe wartości najwyższych dopuszczalnych stężeń w środowisku pracy i dopuszczalne wartości biologiczne</w:t>
      </w:r>
    </w:p>
    <w:p w:rsidR="000251E6" w:rsidRPr="0069446B" w:rsidP="00DA2C0C" w14:paraId="551E4519" w14:textId="133FFE24">
      <w:pPr>
        <w:pStyle w:val="SDSTextBlankLine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0F45F6DE" w14:textId="77777777" w:rsidTr="00F22FF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6A5033" w14:paraId="054DA880" w14:textId="66F3A5D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diphenyl ether</w:t>
            </w:r>
            <w:r w:rsidRPr="0069446B">
              <w:rPr>
                <w:noProof w:val="0"/>
                <w:color w:val="auto"/>
              </w:rPr>
              <w:t xml:space="preserve"> </w:t>
            </w:r>
            <w:r w:rsidRPr="0069446B" w:rsidR="00FD53E4">
              <w:rPr>
                <w:noProof/>
                <w:color w:val="auto"/>
              </w:rPr>
              <w:t>(101-84-8)</w:t>
            </w:r>
          </w:p>
        </w:tc>
      </w:tr>
      <w:tr w14:paraId="09AA005D" w14:textId="77777777" w:rsidTr="009D0DC8">
        <w:tblPrEx>
          <w:tblW w:w="10490" w:type="dxa"/>
          <w:tblLayout w:type="fixed"/>
          <w:tblLook w:val="04A0"/>
        </w:tblPrEx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47054" w14:paraId="7C4BF95B" w14:textId="4292DBE7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UE - Orientacyjna wartość graniczna narażenia zawodowego (IOEL)</w:t>
            </w:r>
          </w:p>
        </w:tc>
      </w:tr>
      <w:tr w14:paraId="70951C39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59DC9D44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Nazwa miejscowa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7F8A1D5B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Diphenyl ether</w:t>
            </w:r>
          </w:p>
        </w:tc>
      </w:tr>
      <w:tr w14:paraId="70951C3A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IOEL TWA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 mg/m³</w:t>
            </w:r>
          </w:p>
        </w:tc>
      </w:tr>
      <w:tr w14:paraId="70951C3B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IOEL TWA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 ppm</w:t>
            </w:r>
          </w:p>
        </w:tc>
      </w:tr>
      <w:tr w14:paraId="70951C3C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IOEL STEL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 mg/m³</w:t>
            </w:r>
          </w:p>
        </w:tc>
      </w:tr>
      <w:tr w14:paraId="70951C3D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IOEL STEL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 ppm</w:t>
            </w:r>
          </w:p>
        </w:tc>
      </w:tr>
      <w:tr w14:paraId="70951C3E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Odniesienie regulacyjne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COMMISSION DIRECTIVE (EU) 2017/164</w:t>
            </w:r>
          </w:p>
        </w:tc>
      </w:tr>
    </w:tbl>
    <w:bookmarkStart w:id="2" w:name="_Hlk205902293"/>
    <w:bookmarkEnd w:id="2"/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Pomarańczowy. Kwiatowy. Green.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9000 mg/kg masy ciała Animal: rat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citronellal (106-23-0)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2000 mg/kg masy ciała Animal: rat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2500 –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3600 mg/kg masy ciała Animal: rat, 95% CL: 2840 - 4570</w:t>
            </w:r>
          </w:p>
        </w:tc>
      </w:tr>
      <w:tr w14:paraId="6700D316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F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4-tert-butylcyclohexyl acetate (32210-23-4)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300 – 2000 mg/kg masy ciała Animal: rat, Animal sex: female, Guideline: OECD Guideline 420 (Acute Oral Toxicity - Fixed Dose Method), Guideline: EU Method B.1 bis (Acute Oral Toxicity - Fixed Dose Procedure)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citronellal (106-23-0)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827634" w:rsidRPr="0069446B" w:rsidP="003E0104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2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95C82A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masy ciała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diphenyl ether (101-84-8)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1000 mg/kg masy ciała Animal: rat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F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citronellal (106-23-0)</w:t>
            </w:r>
          </w:p>
        </w:tc>
      </w:tr>
      <w:tr w14:paraId="42A847A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F68F7FC" w14:textId="315015C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LOAEC (inhalacja, szczur, gaz,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8FE6653" w14:textId="5FF84CD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 ppm Animal: rat, Animal sex: female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453 (Combined Chronic Toxicity / Carcinogenicity Studies)</w:t>
            </w:r>
          </w:p>
        </w:tc>
      </w:tr>
      <w:tr w14:paraId="7DB1732F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412186D5" w14:textId="59F5132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NOAEC (inhalacja, szczur, gaz,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3E3E78EA" w14:textId="191818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34 ppm Animal: rat, Animal sex: female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masy ciała Animal: mouse, Animal sex: female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E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cineole (470-82-6)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600 mg/kg masy ciała Animal: rat, Animal sex: female, Guideline: other:, Guideline: OECD Guideline 407 (Repeated Dose 28-Day Oral Toxicity Study in Rodents), Guideline: EPA OPPTS 870.3150 (90-Day Oral Toxicity in Non-rodents)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F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32F42FC0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masy ciała Animal: rat, Guideline: other:,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Swieca savon de Marseille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diphenyl ether (101-84-8)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4,2 mg/l Test organisms (species): Oncorhynchus mykiss (previous name: Salmo gairdneri)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1,96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citronellal (106-23-0)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22 mg/l Test organisms (species): Leuciscus idus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8,7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13,33 mg/l Test organisms (species): Desmodesmus subspicatus (previous name: Scenedesmus subspicatus)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6,74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cineole (470-82-6)</w:t>
            </w:r>
          </w:p>
        </w:tc>
      </w:tr>
      <w:tr w14:paraId="562CCB6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57 mg/l Test organisms (species): Oncorhynchus mykiss (previous name: Salmo gairdneri)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100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74 mg/l Test organisms (species): Raphidocelis subcapitata (previous names: Pseudokirchneriella subcapitata, Selenastrum capricornutum)</w:t>
            </w:r>
          </w:p>
        </w:tc>
      </w:tr>
      <w:tr w14:paraId="3112BB7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74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562CCB6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22 mg/l Test organisms (species): Danio rerio (previous name: Brachydanio rerio)</w:t>
            </w:r>
          </w:p>
        </w:tc>
      </w:tr>
      <w:tr w14:paraId="758D634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10,8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4-tert-butylcyclohexyl acetate (32210-23-4)</w:t>
            </w:r>
          </w:p>
        </w:tc>
      </w:tr>
      <w:tr w14:paraId="562CCB6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8,6 mg/l Test organisms (species): Cyprinus carpio</w:t>
            </w:r>
          </w:p>
        </w:tc>
      </w:tr>
      <w:tr w14:paraId="758D63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5,3 mg/l Test organisms (species): Daphnia magna</w:t>
            </w:r>
          </w:p>
        </w:tc>
      </w:tr>
      <w:tr w14:paraId="66FAA3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Swieca savon de Marseille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diphenyl ether (101-84-8)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citronellal (106-23-0)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cineole (470-82-6)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4-tert-butylcyclohexyl acetate (32210-23-4)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cineole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linalool ; linalyl acetate ; citronellal ; cineole ; geraniol ; 4-tert-butylcyclohexyl acetate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Poważne uszkodzenie oczu/działanie drażniące na oczy,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Ciecze łatwopalne, kategoria 3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 i opary łatwopalne.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uszkodzenia oczu.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DIPHENYL ETHER, linalool, linalyl acetate, CITRONELLAL, coumarin, cineole, geraniol; (2E)-3,7-dimethylocta-2,6-dien-1-ol, ISOBORNEOL.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30.06.2026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30.06.2026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Swieca savon de Marseille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Swieca savon de Marseille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30.06.2026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37CBA5-180D-4682-B738-F575E0C6A43F}"/>
</file>

<file path=customXml/itemProps3.xml><?xml version="1.0" encoding="utf-8"?>
<ds:datastoreItem xmlns:ds="http://schemas.openxmlformats.org/officeDocument/2006/customXml" ds:itemID="{46A4CD56-2A3B-422B-A6A3-5DD8BC6E38CA}"/>
</file>

<file path=customXml/itemProps4.xml><?xml version="1.0" encoding="utf-8"?>
<ds:datastoreItem xmlns:ds="http://schemas.openxmlformats.org/officeDocument/2006/customXml" ds:itemID="{4167E758-CBC7-43FC-8FA9-88FB93E88C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14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