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romarin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Substancja stała łatwopalna. 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cineole; 1-(1,2,3,4,5,6,7,8-octahydro-2,3,8,8-tetramethyl-2-naphthyl)ethan-1-one; pin-2(3)-ene; caryophyllene; d-limonene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2,582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camphene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79-92-5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201-234-8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1, H228</w:t>
              <w:br/>
              <w:t>Eye Irrit. 2, H319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pin-2(3)-ene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80-56-8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201-291-9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(Doustne), H302 (ATE=500 mg/kg masy ciała)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caryophyllene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87-44-5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201-746-1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Asp. Tox. 1, H304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Nie narażać na nieizolowane płomienie i iskry. Zakaz palenia.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Zebrać produkt mechanicznie. Powiadomić władze, jeżeli produkt dostanie się do ścieków lub wód publicznych.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Przechowywać z dala od źródeł ciepła, gorących powierzchni, źródeł iskrzenia, otwartego ognia i innych źródeł zapłonu. Nie palić. Uziemić/połączyć pojemnik i sprzęt odbiorczy.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Uziemić/połączyć pojemnik i sprzęt odbiorczy.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 Przechowywać z dala od źródeł zapłonu.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Wiejski. Charakterystyczny. Cedr.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Substancja stała łatwopalna.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Unikać kontaktu z gorącymi powierzchniami. Ciepło. Z dala od płomieni i iskier. Zlikwidować wszelkie źródła zapłonu.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Toxicity), Guideline: EU Method B.3 (Acute Toxicity (Dermal))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caryophyllene (87-44-5)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mouse, Animal sex: male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masy ciała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romarin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1,75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0,475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caryophyllene (87-44-5)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0,033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romarin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caryophyllene (87-44-5)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cineole ; pin-2(3)-ene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cineole ; pin-2(3)-ene ; caryophyllene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pin-2(3)-ene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Subtancje stałe łatwopalne,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stała łatwopalna.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romarin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romarin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20.04.2026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EE592-1C20-4091-A644-715CAF7FB08F}"/>
</file>

<file path=customXml/itemProps3.xml><?xml version="1.0" encoding="utf-8"?>
<ds:datastoreItem xmlns:ds="http://schemas.openxmlformats.org/officeDocument/2006/customXml" ds:itemID="{82CC624D-7A7A-420D-9152-76F030AE89D0}"/>
</file>

<file path=customXml/itemProps4.xml><?xml version="1.0" encoding="utf-8"?>
<ds:datastoreItem xmlns:ds="http://schemas.openxmlformats.org/officeDocument/2006/customXml" ds:itemID="{5066791D-EA27-4450-8043-2303AB078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