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pomme cannelle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profesjonalne,Stosowanie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Kompozycja zapachowa (zapach).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rue de la clef des champs</w:t>
              <w:br/>
              <w:t>68600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d-limonene; cinnamaldehyde; α-methylcinnamaldehyde; cinnamyl alcohol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P302+P352 - W PRZYPADKU KONTAKTU ZE SKÓRĄ: Dokładnie umyć wody z mydłem.</w:t>
              <w:br/>
              <w:t>P333+P313 - W przypadku podrażnienia lub wysypki skórnej: skonsultować się z lekarzem.</w:t>
              <w:br/>
              <w:t>Usunąć zawartość/opakowanie w ... (... zgodnie z przepisami lokalnymi/regionalnymi/krajowymi lub międzynarodowymi).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diethyl malonate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105-53-3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203-305-9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88-41-5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201-828-7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1,842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1,1683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α-methylcinnamaldehyde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101-39-3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1,164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(ATE=2000 mg/kg masy ciała)</w:t>
              <w:br/>
              <w:t>Skin Sens. 1B, H317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allyl hexanoate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123-68-2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204-642-4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(Doustne), H301 (ATE=280 mg/kg masy ciała)</w:t>
              <w:br/>
              <w:t>Acute Tox. 3 (Skórne), H311 (ATE=820 mg/kg masy ciała)</w:t>
              <w:br/>
              <w:t>Acute Tox. 3 (Poprzez wdychanie), H331 (ATE=0,5 mg/l/4h)</w:t>
              <w:br/>
              <w:t>Aquatic Acute 1, H400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Pikantny. Owocowy.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6F8516" w14:textId="18123FA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0,994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hexanoate (123-68-2)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280 mg/kg masy ciała Animal: guinea pig, Guideline: OECD Guideline 401 (Acute Oral Toxicity), 95% CL: 246 - 319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820 mg/kg masy ciała Animal: rabbit, Guideline: OECD Guideline 402 (Acute Dermal Toxicity), 95% CL: 700 - 940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diethyl malonate (105-53-3)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15794 mg/kg masy ciała Animal: rat, Animal sex: male, Guideline: other: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16960 mg/kg masy ciała Animal: rabbit, Animal sex: male,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α-methylcinnamaldehyde (101-39-3)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275,34 mg/kg masy ciała Animal: rat, Animal sex: female,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mg/kg masy ciała Animal: rat, Animal sex: female, Guideline: OECD Guideline 423 (Acute Oral toxicity - Acute Toxic Class Method)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α-methylcinnamaldehyde (101-39-3)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125 mg/kg masy ciała Animal: rat, Animal sex: male, Guideline: other:</w:t>
            </w:r>
          </w:p>
        </w:tc>
      </w:tr>
      <w:tr w14:paraId="2982CE87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3D56B2" w14:textId="08087C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F1)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533A663" w14:textId="73E520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1200 mg/kg masy ciała Animal: mouse,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pomme cannelle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hexanoate (123-68-2)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0,117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4,6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0,778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diethyl malonate (105-53-3)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202,3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508,2 mg/l Test organisms (species): Desmodesmus subspicatus (previous name: Scenedesmus subspicatus)</w:t>
            </w:r>
          </w:p>
        </w:tc>
      </w:tr>
      <w:tr w14:paraId="14947BF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800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α-methylcinnamaldehyde (101-39-3)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860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197,96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Danio rerio (previous name: Brachydanio rerio)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7,7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pomme cannelle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hexanoate (123-68-2)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diethyl malonate (105-53-3)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2-tert-butylcyclohexyl acetate (88-41-5)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α-methylcinnamaldehyde (101-39-3)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Nie zawiera substancji wymienionych w załączniku XVII do rozporządzenia REACH (warunki ograniczeń)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3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po połknięciu.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w kontakcie ze skórą.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w następstwie wdychania.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23.04.2026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23.04.2026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pomme cannelle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2948"/>
      <w:gridCol w:w="4535"/>
      <w:gridCol w:w="3005"/>
    </w:tblGrid>
    <w:tr w14:paraId="48CF5240" w14:textId="77777777" w:rsidTr="008F5B08">
      <w:tblPrEx>
        <w:tblW w:w="10488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 w:val="restart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DB1125" w:rsidP="00DB1125" w14:paraId="2F81A3AB" w14:textId="70304125">
          <w:pPr>
            <w:pStyle w:val="SDSTableTextHeader"/>
          </w:pPr>
          <w:r>
            <w:drawing>
              <wp:inline>
                <wp:extent cx="1714500" cy="624078"/>
                <wp:docPr id="100003" name="" descr="Logo pour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3" name="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624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8F5B08" w14:paraId="1B70934B" w14:textId="4DAE3794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pomme cannelle 10%</w:t>
          </w:r>
        </w:p>
      </w:tc>
    </w:tr>
    <w:tr w14:paraId="7D50F31A" w14:textId="77777777" w:rsidTr="008F5B08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P="00DB1125" w14:paraId="54934F52" w14:textId="77777777">
          <w:pPr>
            <w:pStyle w:val="SDSTableTextHeader"/>
          </w:pPr>
        </w:p>
      </w:tc>
      <w:tc>
        <w:tcPr>
          <w:tcW w:w="453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DB1125" w14:paraId="3256D01C" w14:textId="2272BE3F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8F5B08" w14:paraId="45A8F1CC" w14:textId="64A3CD0E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2CED3BEE" w14:textId="77777777" w:rsidTr="008F5B08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P="00DB1125" w14:paraId="258B1E0A" w14:textId="77777777">
          <w:pPr>
            <w:pStyle w:val="SDSTableTextHeader"/>
          </w:pPr>
        </w:p>
      </w:tc>
      <w:tc>
        <w:tcPr>
          <w:tcW w:w="754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8F5B08" w14:paraId="650C2731" w14:textId="5DC8054E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8F5B08" w14:paraId="31267F45" w14:textId="67A5CBF0">
          <w:pPr>
            <w:pStyle w:val="SDSTableTextHeader"/>
          </w:pPr>
          <w:r>
            <w:rPr>
              <w:noProof/>
            </w:rPr>
            <w:t>Data wydania: 23.04.2026   Wersja: 4.0</w:t>
          </w:r>
        </w:p>
      </w:tc>
    </w:tr>
    <w:tr w14:paraId="0930DE40" w14:textId="77777777" w:rsidTr="00AE7B57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2948" w:type="dxa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371194" w:rsidP="00371194" w14:paraId="2420E657" w14:textId="77777777">
          <w:pPr>
            <w:pStyle w:val="SDSTextBlankLine"/>
          </w:pPr>
        </w:p>
      </w:tc>
      <w:tc>
        <w:tcPr>
          <w:tcW w:w="754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371194" w14:paraId="1D31590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01895-3C4B-414F-A9A6-75D93D913775}"/>
</file>

<file path=customXml/itemProps3.xml><?xml version="1.0" encoding="utf-8"?>
<ds:datastoreItem xmlns:ds="http://schemas.openxmlformats.org/officeDocument/2006/customXml" ds:itemID="{B96E1AC5-45E9-4908-9FA7-181A24D0E10B}"/>
</file>

<file path=customXml/itemProps4.xml><?xml version="1.0" encoding="utf-8"?>
<ds:datastoreItem xmlns:ds="http://schemas.openxmlformats.org/officeDocument/2006/customXml" ds:itemID="{A11F9958-2A9C-4953-BA2F-02C4205868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