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pistache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HELIOTROPINE, CITRAL, HELIOTROPINE, COUMARIN, HEXYL SALICYLATE, ISOAMYL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607-772-00-3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H361d</w:t>
              <w:br/>
              <w:t>STOT RE Niesklasyfikowane</w:t>
              <w:br/>
              <w:t>Aquatic Acute 1, H400 (M=1)</w:t>
              <w:br/>
              <w:t>Aquatic Chronic 1, H410 (M=1)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benzaldehyde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(100-52-7)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Benzaldehyd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40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Owocowy.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 rat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7CBBCD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46,9 mg/kg masy ciała Animal: rat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0,249 mg/l air Animal: rat, Guideline: OECD Guideline 412 (Subacute Inhalation Toxicity: 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0,357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1,97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1,12 mg/l Test organisms (species): Raphidocelis subcapitata (previous names: Pseudokirchneriella subcapitata, Selenastrum capricornutum)</w:t>
            </w:r>
          </w:p>
        </w:tc>
      </w:tr>
      <w:tr w14:paraId="14947BF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0,298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benzaldehyde ; 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benzaldehyde ; citral ; 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  <w:tr w14:paraId="23D538E1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RE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(narażenie powtarzane) Nie sklasyfikowany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dziecko w łonie matki.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HELIOTROPINE, CITRAL, HELIOTROPINE, COUMARIN, HEXYL SALICYLATE, ISOAMYL SALICYLATE.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pistache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pistache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23C03-E918-4349-BFAB-3223B1CB1EF0}"/>
</file>

<file path=customXml/itemProps3.xml><?xml version="1.0" encoding="utf-8"?>
<ds:datastoreItem xmlns:ds="http://schemas.openxmlformats.org/officeDocument/2006/customXml" ds:itemID="{1280BEDD-2CEF-4378-8126-A6334C697FCF}"/>
</file>

<file path=customXml/itemProps4.xml><?xml version="1.0" encoding="utf-8"?>
<ds:datastoreItem xmlns:ds="http://schemas.openxmlformats.org/officeDocument/2006/customXml" ds:itemID="{8CABE4F1-4A67-4FFB-9D28-5B7129A53C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