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oud eternel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(ethoxymethoxy)cyclododecane; α-hexylcinnamaldehyde; eter metylowy cedrowy; 1-(1,2,3,4,5,6,7,8-octahydro-2,3,8,8-tetramethyl-2-naphthyl)ethan-1-one; d-limonene; 4-tert-butylcyclohexyl acetate; cinnamaldehyde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eter metylowy cedrowy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0,5418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0,4606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0,4515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0,3612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0,3108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(ethoxymethoxy)cyclododecane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58567-11-6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261-332-1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alfa-cedren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0,0539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0,02261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allyl heptanoate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142-19-8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205-527-1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0,0182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(Doustne), H301 (ATE=218 mg/kg masy ciała)</w:t>
              <w:br/>
              <w:t>Acute Tox. 3 (Skórne), H311 (ATE=810 mg/kg masy ciała)</w:t>
              <w:br/>
              <w:t>Aquatic Acute 1, H400 (M=10)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Drewniany. Hesperidaceae. Bursztyn.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7E6D8D8" w14:textId="2532CE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Substancja nierozpuszczalna w wodzie.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218 mg/kg masy ciała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810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rat, Animal sex: male,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masy ciała Animal: rat, Animal sex: female, Guideline: OECD Guideline 420 (Acute Oral Toxicity - Fixed Dose Method), Guideline: EU Method B.1 bis (Acute Oral Toxicity - Fixed Dose Procedure)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 mg/kg masy ciała Animal: rat, Animal sex: male, Guideline: OECD Guideline 422 (Combined Repeated Dose Toxicity Study with the Reproduction / Developmental Toxicity Screening Test), Guideline: other: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1000 mg/kg masy ciała Animal: rat, Animal sex: female, Guideline: OECD Guideline 422 (Combined Repeated Dose Toxicity Study with the Reproduction / Developmental Toxicity Screening Test),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oud eternel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1,7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0,117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4,6 mg/l Test organisms (species): Desmodesmus subspicatus (previous name: Scenedesmus subspicatus)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0,778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1,9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1,6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8,6 mg/l Test organisms (species): Cyprinus carpio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oud eternel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eter metylowy cedrowy (19870-74-7)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alfa-cedren (469-61-4)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po połknięciu.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w kontakcie ze skórą.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17.04.2026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17.04.2026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oud eternel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oud eternel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17.04.2026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39AECB-6C78-4956-8C0D-CBA043AC70C8}"/>
</file>

<file path=customXml/itemProps3.xml><?xml version="1.0" encoding="utf-8"?>
<ds:datastoreItem xmlns:ds="http://schemas.openxmlformats.org/officeDocument/2006/customXml" ds:itemID="{BFDC2A52-A569-47B7-AE46-A724DAAF6978}"/>
</file>

<file path=customXml/itemProps4.xml><?xml version="1.0" encoding="utf-8"?>
<ds:datastoreItem xmlns:ds="http://schemas.openxmlformats.org/officeDocument/2006/customXml" ds:itemID="{A00B2771-F1AE-414E-996F-3EF6630C26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