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noire et santal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1-(1,2,3,4,5,6,7,8-octahydro-2,3,8,8-tetramethyl-2-naphthyl)ethan-1-one, coumarin, ethyl 2,3-epoxy-3-phenylbutyrate, cinnamaldehyde.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Acute 1, H400</w:t>
              <w:br/>
              <w:t>Aquatic Chronic 2, H411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drzewny.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masy ciała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noire et santal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noire et santal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1-(1,2,3,4,5,6,7,8-octahydro-2,3,8,8-tetramethyl-2-naphthyl)ethan-1-one, coumarin, ethyl 2,3-epoxy-3-phenylbutyrate, cinnamaldehyde.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noire et santal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noire et santal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A619E2-EB52-4361-B9B0-DEE33F65ADBC}"/>
</file>

<file path=customXml/itemProps3.xml><?xml version="1.0" encoding="utf-8"?>
<ds:datastoreItem xmlns:ds="http://schemas.openxmlformats.org/officeDocument/2006/customXml" ds:itemID="{B0AB58AC-432E-4500-A860-CBD27BE59A70}"/>
</file>

<file path=customXml/itemProps4.xml><?xml version="1.0" encoding="utf-8"?>
<ds:datastoreItem xmlns:ds="http://schemas.openxmlformats.org/officeDocument/2006/customXml" ds:itemID="{04453AB7-F99C-4E69-9116-B105E3BA56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