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musc blanc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alpha-iso-methylionone, benzyl salicylate, HYDROXYCITRONELLAL, citronellol, linalool, coumarin.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0,556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cyclopentadecanone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502-72-7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207-951-2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Aldehyd. Piżmo. Proszkowany.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cyclopentadecanone (502-72-7)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5000 mg/kg masy ciała Animal: rat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cyclopentadecanone (502-72-7)</w:t>
            </w:r>
          </w:p>
        </w:tc>
      </w:tr>
      <w:tr w14:paraId="17BB36C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5D6E007" w14:textId="362312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F5D4209" w14:textId="4442B51B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422 (Combined Repeated Dose Toxicity Study with the Reproduction / Developmental Toxicity Screening Test), Guideline: EU Method B.7 (Repeated Dose (28 Days) Toxicity (Oral)), Guideline: other:, Guideline: OECD Guideline 407 (Repeated Dose 28-Day Oral Toxicity Study in Rodents)</w:t>
            </w:r>
          </w:p>
        </w:tc>
      </w:tr>
      <w:tr w14:paraId="07CBBCD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422 (Combined Repeated Dose Toxicity Study with the Reproduction / Developmental Toxicity Screening Test), Guideline: EU Method B.7 (Repeated Dose (28 Days) Toxicity (Oral)), Guideline: other:,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musc blanc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cyclopentadecanone (502-72-7)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0,17 mg/l Test organisms (species): Cyprinus carpio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0,18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0,17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musc blanc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cyclopentadecanone (502-72-7)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salicylate ; 7-hydroxycitronellal ; linalool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alpha-iso-methylionone, benzyl salicylate, HYDROXYCITRONELLAL, citronellol, linalool, coumarin.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18.06.2026 (Data aktualizacji)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18.06.2026 (Data aktualizacji)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musc blanc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musc blanc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29.05.2026   Data aktualizacji: 18.06.2026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45D30F-1174-484E-9CA8-7E5137E65EC8}"/>
</file>

<file path=customXml/itemProps3.xml><?xml version="1.0" encoding="utf-8"?>
<ds:datastoreItem xmlns:ds="http://schemas.openxmlformats.org/officeDocument/2006/customXml" ds:itemID="{A1B802F7-9F19-475B-82AE-C896B6C16E43}"/>
</file>

<file path=customXml/itemProps4.xml><?xml version="1.0" encoding="utf-8"?>
<ds:datastoreItem xmlns:ds="http://schemas.openxmlformats.org/officeDocument/2006/customXml" ds:itemID="{506604DA-E7BA-40DF-B60D-2575621355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