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monoï rosé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39CDAC9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acetate; geraniol; benzyl salicylate; linalool; linalyl acetate; nerol; [3R-(3α,3aβ,6α,7β,8aα)]-octahydro-3,6,8,8-tetramethyl-1H-3a,7-methanoazulen-5-yl acetate; p-methoxybenzyl acetate; 2-benzylideneheptanal; isopentyl salicylate;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1,1907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2-benzylideneheptanal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122-40-7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204-541-5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1,1424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0,6755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0,5159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p-methoxybenzyl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104-21-2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203-185-8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0,0077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Pomarańczowy.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masy ciała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3730 mg/kg masy ciała Animal: rat, Guideline: OECD Guideline 401 (Acute Oral Toxicity), 95% CL: 3190 - 4370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 rat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5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B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6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4,53 Temp.: 26,8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4,53 Temp.: 26,8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rosé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59,9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0,91 mg/l Test organisms (species): not specified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Daphnia sp.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1,5 mg/l Test organisms (species): not specified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not specified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0,041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rosé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geraniol ; benzyl salicylate ; linalool ; linalyl acetate ; d-limonene ; nerol ; [3R-(3α,3aβ,6α,7β,8aα)]-octahydro-3,6,8,8-tetramethyl-1H-3a,7-methanoazulen-5-yl acetate ; p-methoxybenzyl acetate ; 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d-limonene ; [3R-(3α,3aβ,6α,7β,8aα)]-octahydro-3,6,8,8-tetramethyl-1H-3a,7-methanoazulen-5-yl acetate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20.10.2026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20.10.2026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rosé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rosé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20.10.2026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6B6FB3-53C8-4A8F-B0C5-09EEDA772A02}"/>
</file>

<file path=customXml/itemProps3.xml><?xml version="1.0" encoding="utf-8"?>
<ds:datastoreItem xmlns:ds="http://schemas.openxmlformats.org/officeDocument/2006/customXml" ds:itemID="{9B87BE1E-AE41-4519-9EDD-6A42B42EAD29}"/>
</file>

<file path=customXml/itemProps4.xml><?xml version="1.0" encoding="utf-8"?>
<ds:datastoreItem xmlns:ds="http://schemas.openxmlformats.org/officeDocument/2006/customXml" ds:itemID="{FE71571C-5A57-4730-B3B2-55F64B5D2F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