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monoi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Nie sklasyfikowany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Według posiadanych przez nas informacji, produkt ten nie przedstawia szczególnego ryzyka pod warunkiem, że przestrzegane będą ogólne reguły BHP stosowane w przemyśle.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P501 - Zawartość i 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α-hexylcinnamaldehyde, HYDROXYCITRONELLAL, benzyl salicylate, 3-methyl-4-(2,6,6-trimethyl-2-cyclohexen-1-yl)-3-buten-2-one, linalool, AMYL CINNAMAL.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tbl>
      <w:tblPr>
        <w:tblStyle w:val="SDSTableWithBordersWithHeaderRow"/>
        <w:tblW w:w="10495" w:type="dxa"/>
        <w:tblLayout w:type="fixed"/>
        <w:tblLook w:val="04A0"/>
      </w:tblPr>
      <w:tblGrid>
        <w:gridCol w:w="3969"/>
        <w:gridCol w:w="6526"/>
      </w:tblGrid>
      <w:tr w14:paraId="6251E307" w14:textId="77777777" w:rsidTr="0069446B">
        <w:tblPrEx>
          <w:tblW w:w="10495" w:type="dxa"/>
          <w:tblLayout w:type="fixed"/>
          <w:tblLook w:val="04A0"/>
        </w:tblPrEx>
        <w:trPr>
          <w:trHeight w:val="20"/>
          <w:tblHeader/>
        </w:trPr>
        <w:tc>
          <w:tcPr>
            <w:tcW w:w="10495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5BC2FC32" w14:textId="6E368FE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Składnik</w:t>
            </w:r>
          </w:p>
        </w:tc>
      </w:tr>
      <w:tr w14:paraId="66B1B816" w14:textId="77777777" w:rsidTr="0069446B">
        <w:tblPrEx>
          <w:tblW w:w="10495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EE2C69" w14:paraId="5409109E" w14:textId="3B1ED55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niewłączona(-e) do wykazu ustanowionego zgodnie z art. 59 ust. 1 rozporządzenia REACH ze względu na właściwości zaburzające gospodarkę hormonalną lub niezidentyfikowana(-e) jako zaburzająca(-e) gospodarkę hormonalną zgodnie z kryteriami określonymi w rozporządzeniu delegowanym Komisji (UE) 2017/2100 lub rozporządzeniu Komisji (UE) 2018/605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573B2F" w:rsidRPr="0069446B" w:rsidP="00EE2C69" w14:paraId="384C6B00" w14:textId="207966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methyl salicylate (119-36-8)</w:t>
            </w:r>
          </w:p>
        </w:tc>
      </w:tr>
    </w:tbl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α-hexylcinnamaldehyde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101-86-0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202-983-3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0,959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2, H411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2-benzylideneheptanal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122-40-7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204-541-5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0,8925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Chronic 2, H411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7-hydroxycitronellal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107-75-5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203-518-7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0,8911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0,5089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118-58-1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204-262-9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607-754-00-5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0,3815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3-methyl-4-(2,6,6-trimethyl-2-cyclohexen-1-yl)-3-buten-2-one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127-51-5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204-846-3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0,1911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  <w:br/>
              <w:t>Aquatic Chronic 2, H411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methyl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119-36-8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204-317-7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607-749-00-8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(ATE=887 mg/kg masy ciała)</w:t>
              <w:br/>
              <w:t>Eye Dam. 1, H318</w:t>
              <w:br/>
              <w:t>Repr. 2, H361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kokos. tuberoza. Owocowy. Kwiatowy.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6400 mg/kg masy ciała Animal: rat, Guideline: OECD Guideline 401 (Acute Oral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salicylate (119-36-8)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887 mg/kg masy ciała Animal: rat, Guideline: OECD Guideline 401 (Acute Oral Toxicity), 95% CL: 715 - 1100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1060 mg/kg masy ciała Animal: guinea pig, Guideline: OECD Guideline 401 (Acute Oral Toxicity), 95% CL: 873 - 1300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3-methyl-4-(2,6,6-trimethyl-2-cyclohexen-1-yl)-3-buten-2-one (127-51-5)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female, Guideline: OECD Guideline 423 (Acute Oral toxicity - Acute Toxic Class Method)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masy ciała Animal: rat, Guideline: OECD Guideline 401 (Acute Oral Toxicity), 95% CL: 2440 - 3180</w:t>
            </w:r>
          </w:p>
        </w:tc>
      </w:tr>
      <w:tr w14:paraId="512A600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masy ciała Animal: mouse, Guideline: OECD Guideline 401 (Acute Oral Toxicity), 95% CL: 2620 - 3620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masy ciała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2-benzylideneheptanal (122-40-7)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3730 mg/kg masy ciała Animal: rat, Guideline: OECD Guideline 401 (Acute Oral Toxicity), 95% CL: 3190 - 4370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A7593A" w:rsidRPr="0069446B" w:rsidP="009215A8" w14:paraId="5010A818" w14:textId="78B4B17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428FA57" w14:textId="77777777" w:rsidTr="00E00E0B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2A0D880C" w14:textId="112EF6D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3-methyl-4-(2,6,6-trimethyl-2-cyclohexen-1-yl)-3-buten-2-one (127-51-5)</w:t>
            </w:r>
          </w:p>
        </w:tc>
      </w:tr>
      <w:tr w14:paraId="6CC585F5" w14:textId="77777777" w:rsidTr="005C557D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43265E28" w14:textId="5BEC38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31F7069D" w14:textId="4EE742A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5,44 Temp.: 30 °C Concentration: 1 other</w:t>
            </w:r>
            <w:r w:rsidRPr="0069446B">
              <w:rPr>
                <w:rFonts w:hint="eastAsia"/>
                <w:noProof/>
                <w:lang w:eastAsia="ja-JP"/>
              </w:rPr>
              <w:t>:</w:t>
            </w:r>
          </w:p>
        </w:tc>
      </w:tr>
    </w:tbl>
    <w:p w:rsidR="00A7593A" w:rsidRPr="0069446B" w:rsidP="009215A8" w14:textId="78B4B17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428FA58" w14:textId="77777777" w:rsidTr="00E00E0B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textId="112EF6D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2-benzylideneheptanal (122-40-7)</w:t>
            </w:r>
          </w:p>
        </w:tc>
      </w:tr>
      <w:tr w14:paraId="6CC585F6" w14:textId="77777777" w:rsidTr="005C557D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textId="5BEC38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textId="4EE742A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4,53 Temp.: 26,8 °C Concentration: 1 vol</w:t>
            </w:r>
            <w:r w:rsidRPr="0069446B">
              <w:rPr>
                <w:rFonts w:hint="eastAsia"/>
                <w:noProof/>
                <w:lang w:eastAsia="ja-JP"/>
              </w:rPr>
              <w:t>%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A7593A" w:rsidRPr="0069446B" w:rsidP="009215A8" w14:paraId="569A14D6" w14:textId="6455FAA7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4FDDC6C4" w14:textId="77777777" w:rsidTr="006839F4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701E277D" w14:textId="15263CC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3-methyl-4-(2,6,6-trimethyl-2-cyclohexen-1-yl)-3-buten-2-one (127-51-5)</w:t>
            </w:r>
          </w:p>
        </w:tc>
      </w:tr>
      <w:tr w14:paraId="58CDE2D1" w14:textId="77777777" w:rsidTr="006839F4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0CE292D2" w14:textId="39ADD68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6B272BF2" w14:textId="52E8F02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5,44 Temp.: 30 °C Concentration: 1 other</w:t>
            </w:r>
            <w:r w:rsidRPr="0069446B">
              <w:rPr>
                <w:rFonts w:hint="eastAsia"/>
                <w:noProof/>
                <w:lang w:eastAsia="ja-JP"/>
              </w:rPr>
              <w:t>:</w:t>
            </w:r>
          </w:p>
        </w:tc>
      </w:tr>
    </w:tbl>
    <w:p w:rsidR="00A7593A" w:rsidRPr="0069446B" w:rsidP="009215A8" w14:textId="6455FAA7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4FDDC6C5" w14:textId="77777777" w:rsidTr="006839F4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textId="15263CC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2-benzylideneheptanal (122-40-7)</w:t>
            </w:r>
          </w:p>
        </w:tc>
      </w:tr>
      <w:tr w14:paraId="58CDE2D2" w14:textId="77777777" w:rsidTr="006839F4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textId="39ADD68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textId="52E8F02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4,53 Temp.: 26,8 °C Concentration: 1 vol</w:t>
            </w:r>
            <w:r w:rsidRPr="0069446B">
              <w:rPr>
                <w:rFonts w:hint="eastAsia"/>
                <w:noProof/>
                <w:lang w:eastAsia="ja-JP"/>
              </w:rPr>
              <w:t>%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(przewlekłe, doustnie, zwierzę/samiec, 2 lata)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masy ciała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masy ciała Animal: rat, Guideline: OECD Guideline 453 (Combined Chronic Toxicity / Carcinogenicity Studies)</w:t>
            </w:r>
          </w:p>
        </w:tc>
      </w:tr>
      <w:tr w14:paraId="6B0A5EE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7C20CFC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zwierzę/samiec,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A78E587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masy ciała Animal: mouse, Animal sex: male, Guideline: OECD Guideline 453 (Combined Chronic Toxicity / Carcinogenicity Studies)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salicylate (119-36-8)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50 mg/kg masy ciała Animal: rat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3-methyl-4-(2,6,6-trimethyl-2-cyclohexen-1-yl)-3-buten-2-one (127-51-5)</w:t>
            </w:r>
          </w:p>
        </w:tc>
      </w:tr>
      <w:tr w14:paraId="07CBBCD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 mg/kg masy ciała Animal: rat, Animal sex: male, Guideline: OECD Guideline 408 (Repeated Dose 90-Day Oral Toxicity Study in Rodents)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50 mg/kg masy ciała Animal: rat,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monoi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31,6 mg/l Test organisms (species): Leuciscus idus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410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123,32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salicylate (119-36-8)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19,8 mg/l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1370 mg/l Test organisms (species): Pimephales promelas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28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1,6 mg/l Test organisms (species): Desmodesmus subspicatus (previous name: Scenedesmus subspicatus)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3-methyl-4-(2,6,6-trimethyl-2-cyclohexen-1-yl)-3-buten-2-one (127-51-5)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10,9 mg/l Test organisms (species): Oncorhynchus mykiss (previous name: Salmo gairdneri)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9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2-benzylideneheptanal (122-40-7)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0,91 mg/l Test organisms (species): not specified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0,28 mg/l Test organisms (species): Daphnia sp.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1,5 mg/l Test organisms (species): not specified</w:t>
            </w:r>
          </w:p>
        </w:tc>
      </w:tr>
      <w:tr w14:paraId="14947BF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 mg/l Test organisms (species): not specified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0,041 mg/l Test organisms (species): Daphnia magna Duration: '21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monoi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α-hexylcinnamaldehyde (101-86-0)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salicylate (118-58-1)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salicylate (119-36-8)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3-methyl-4-(2,6,6-trimethyl-2-cyclohexen-1-yl)-3-buten-2-one (127-51-5)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2-benzylideneheptanal (122-40-7)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7-hydroxycitronellal ; benzyl salicylate ; methyl salicylate ; 3-methyl-4-(2,6,6-trimethyl-2-cyclohexen-1-yl)-3-buten-2-one ; linalool ; 2-benzylideneheptanal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3-methyl-4-(2,6,6-trimethyl-2-cyclohexen-1-yl)-3-buten-2-one ; 2-benzylideneheptanal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Poważne uszkodzenie oczu/działanie drażniące na oczy, kategoria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szkodliwe na rozrodczość, kategoria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uszkodzenia oczu.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Podejrzewa się, że działa szkodliwie na płodność lub na dziecko w łonie matki.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α-hexylcinnamaldehyde, HYDROXYCITRONELLAL, benzyl salicylate, 3-methyl-4-(2,6,6-trimethyl-2-cyclohexen-1-yl)-3-buten-2-one, linalool, AMYL CINNAMAL. Może powodować reakcję alergiczną.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29.05.2026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29.05.2026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monoi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monoi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29.05.2026   Wersja: 4.0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0E7AFE-A28A-48F4-8AB7-EBED0EEF2DDE}"/>
</file>

<file path=customXml/itemProps3.xml><?xml version="1.0" encoding="utf-8"?>
<ds:datastoreItem xmlns:ds="http://schemas.openxmlformats.org/officeDocument/2006/customXml" ds:itemID="{22C7900D-E4CC-4F31-B78C-5445D84364EB}"/>
</file>

<file path=customXml/itemProps4.xml><?xml version="1.0" encoding="utf-8"?>
<ds:datastoreItem xmlns:ds="http://schemas.openxmlformats.org/officeDocument/2006/customXml" ds:itemID="{7CAFA07F-D7AC-44E1-A269-DA35B4369A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