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mimosa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METHYLENEDIOXYPHENYL METHYLPROPANAL, HYDROXYCITRONELLAL, linalool.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0,3892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0,1554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3-(5,5,6-trimethylbicyclo[2.2.1]hept-2-yl)cyclohexan-1-ol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3407-42-9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209-667-4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0,1554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Repr. 2, H361</w:t>
              <w:br/>
              <w:t>Aquatic Acute 1, H400</w:t>
              <w:br/>
              <w:t>Aquatic Chronic 2, H411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α-methyl-1,3-benzodioxole-5-propionaldehyde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1205-17-0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214-881-6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605-042-00-9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0,1169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Repr. 2, H361</w:t>
              <w:br/>
              <w:t>Aquatic Chronic 2, H411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7-hydroxycitronellal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107-75-5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203-518-7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0,1169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Kwiatowy. Anyż. Proszkowany.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masy ciała Animal: rat, Guideline: OECD Guideline 401 (Acute Oral Toxicity), 95% CL: 2755 - 3600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6400 mg/kg masy ciała Animal: rat, Guideline: OECD Guideline 401 (Acute Oral Toxicity)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750 mg/kg masy ciała Animal: rat, Animal sex: male, Guideline: OECD Guideline 422 (Combined Repeated Dose Toxicity Study with the Reproduction / Developmental Toxicity Screening Test)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100 mg/kg masy ciała Animal: rat, Animal sex: female, Guideline: OECD Guideline 422 (Combined Repeated Dose Toxicity Study with the 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453 (Combined Chronic Toxicity / Carcinogenicity Studies)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mimosa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5,3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8,3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28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31,6 mg/l Test organisms (species): Leuciscus idus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410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123,32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mimosa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3-(5,5,6-trimethylbicyclo[2.2.1]hept-2-yl)cyclohexan-1-ol (3407-42-9)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anisaldehyde ; α-methyl-1,3-benzodioxole-5-propionaldehyde ; 7-hydroxycitronellal ; linalool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 ; α-methyl-1,3-benzodioxole-5-propionaldehyde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METHYLENEDIOXYPHENYL METHYLPROPANAL, HYDROXYCITRONELLAL, linalool.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19.06.2026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19.06.2026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mimosa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mimosa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19.06.2026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F4E9D5-E50C-4B04-88AC-C98126DB351E}"/>
</file>

<file path=customXml/itemProps3.xml><?xml version="1.0" encoding="utf-8"?>
<ds:datastoreItem xmlns:ds="http://schemas.openxmlformats.org/officeDocument/2006/customXml" ds:itemID="{D7AB1C04-4AD9-40A5-95A3-4C28F862DF8E}"/>
</file>

<file path=customXml/itemProps4.xml><?xml version="1.0" encoding="utf-8"?>
<ds:datastoreItem xmlns:ds="http://schemas.openxmlformats.org/officeDocument/2006/customXml" ds:itemID="{676F1A44-17D3-4E0C-A53E-E354589819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