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miłości na łące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(ethoxymethoxy)cyclododecane; 1-(1,2,3,4,5,6,7,8-octahydro-2,3,8,8-tetramethyl-2-naphthyl)ethan-1-one; cinnamaldehyde;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1,8263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0,5782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(ethoxymethoxy)cyclododecane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58567-11-6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261-332-1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0,01918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Bursztyn. Owocowy. Drewniany.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Animal sex: male,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 mg/kg masy ciała Animal: rat, Animal sex: male, Guideline: OECD Guideline 422 (Combined Repeated Dose Toxicity Study with the Reproduction / Developmental Toxicity Screening Test),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female, Guideline: OECD Guideline 422 (Combined Repeated Dose Toxicity Study with the Reproduction / Developmental Toxicity Screening Test),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miłości na łące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miłości na łące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miłości na łące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miłości na łące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15.06.2026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DEB4BB-E6FA-4916-972B-0AC02D7ED956}"/>
</file>

<file path=customXml/itemProps3.xml><?xml version="1.0" encoding="utf-8"?>
<ds:datastoreItem xmlns:ds="http://schemas.openxmlformats.org/officeDocument/2006/customXml" ds:itemID="{63A710DC-CC1C-4689-A8F8-2F6978655335}"/>
</file>

<file path=customXml/itemProps4.xml><?xml version="1.0" encoding="utf-8"?>
<ds:datastoreItem xmlns:ds="http://schemas.openxmlformats.org/officeDocument/2006/customXml" ds:itemID="{F9B17E9E-8C30-405B-88AA-5A2040C227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