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lotus blanc et coton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2-benzylideneheptanal; 3,7-dimethyloctan-3-ol; cinnamaldehyde; 1-(1,2,3,4,5,6,7,8-octahydro-2,3,8,8-tetramethyl-2-naphthyl)ethan-1-one; 4-tert-butylcyclohexyl acetate; linalool; coumarin; isoeugenol;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benzaldehyde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(100-52-7)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Benzaldehyd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 Piżmo.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3730 mg/kg masy ciała Animal: rat, Guideline: OECD Guideline 401 (Acute Oral Toxicity), 95% CL: 3190 - 4370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4680 mg/kg Source: NITE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4,53 Temp.: 26,8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A7593A" w:rsidRPr="0069446B" w:rsidP="009215A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8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6CC585F6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4,53 Temp.: 26,8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A7593A" w:rsidRPr="0069446B" w:rsidP="009215A8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5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8CDE2D2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827634" w:rsidRPr="0069446B" w:rsidP="002B741C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C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8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lotus blanc et coton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0,91 mg/l Test organisms (species): not specified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Daphnia sp.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1,5 mg/l Test organisms (species): not specified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not specified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0,041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0,549 mg/l Source: ECOSAR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lotus blanc et coton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D2347BE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11C9E37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522CF1B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702F0D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4,8 Source: Pubchem</w:t>
            </w:r>
          </w:p>
        </w:tc>
      </w:tr>
    </w:tbl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3,7-dimethyloctan-3-ol ; cinnamaldehyde ; linalool ; isoeugenol ; 4-tert-butylcyclohexyl acetate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lotus blanc et coton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lotus blanc et coton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2.09.2026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EDDA0-E189-410C-9376-9D3E5D5E9DEE}"/>
</file>

<file path=customXml/itemProps3.xml><?xml version="1.0" encoding="utf-8"?>
<ds:datastoreItem xmlns:ds="http://schemas.openxmlformats.org/officeDocument/2006/customXml" ds:itemID="{B0249E2B-E3AD-4E65-AE90-BD137113BB42}"/>
</file>

<file path=customXml/itemProps4.xml><?xml version="1.0" encoding="utf-8"?>
<ds:datastoreItem xmlns:ds="http://schemas.openxmlformats.org/officeDocument/2006/customXml" ds:itemID="{98834FF2-D910-4699-AEC5-02BD32791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