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iris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pentadecan-15-olide; alpha-iso-methylionone; [3R-(3α,3aβ,6α,7β,8aα)]-octahydro-3,6,8,8-tetramethyl-1H-3a,7-methanoazulen-5-yl acetate; isoeugenol; 2-isopropoxyethyl salicylate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  <w:br/>
              <w:t>P302+P352 - W PRZYPADKU KONTAKTU ZE SKÓRĄ: obficie spłukać wodą i mydłem.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pentadecan-15-olide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106-02-5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203-354-6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[3R-(3α,3aβ,7β,8aα)]-2,3,4,7,8,8a-hexahydro-3,8,8-trimethyl-1H-3a,7-methanoazulene-6-methyl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1405-92-1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215-789-9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2-isopropoxyethyl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79915-74-5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209-141-4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Bursztyn. Irydescencyjny. Drewniany.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pentadecan-15-olide (106-02-5)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tris (Acute Oral Toxicity - Acute Toxic Class Method),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B.3 (Acute Toxicity (Dermal)),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423 (Acute Oral toxicity - Acute Toxic Class Method)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(Dermal)), Guideline: EPA OPPTS 870.1200 (Acute Dermal Toxicity),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– 200 mg/kg masy ciała Animal: rat, Animal sex: female,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pentadecan-15-olide (106-02-5)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≥ 1000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iris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pentadecan-15-olide (106-02-5)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0,797 mg/l Test organisms (species): Oncorhynchus mykiss (previous name: Salmo gairdneri)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0,17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0,4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0,47 mg/l Test organisms (species): Desmodesmus subspicatus (previous name: Scenedesmus subspicatus)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0,127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0,027 mg/l Test organisms (species): Pimephales promelas Duration: '33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3,5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iris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pentadecan-15-olide (106-02-5)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[3R-(3α,3aβ,7β,8aα)]-2,3,4,7,8,8a-hexahydro-3,8,8-trimethyl-1H-3a,7-methanoazulene-6-methyl acetate (1405-92-1)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 ; [3R-(3α,3aβ,6α,7β,8aα)]-octahydro-3,6,8,8-tetramethyl-1H-3a,7-methanoazulen-5-yl acetate ; isoeugenol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 ; [3R-(3α,3aβ,6α,7β,8aα)]-octahydro-3,6,8,8-tetramethyl-1H-3a,7-methanoazulen-5-yl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iris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iris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7.07.2026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431F46-9A48-4A29-9B38-67C80697C99A}"/>
</file>

<file path=customXml/itemProps3.xml><?xml version="1.0" encoding="utf-8"?>
<ds:datastoreItem xmlns:ds="http://schemas.openxmlformats.org/officeDocument/2006/customXml" ds:itemID="{086D19DF-67B5-488C-9F1E-17DBDC9716A9}"/>
</file>

<file path=customXml/itemProps4.xml><?xml version="1.0" encoding="utf-8"?>
<ds:datastoreItem xmlns:ds="http://schemas.openxmlformats.org/officeDocument/2006/customXml" ds:itemID="{B5A15FB2-5F8B-4A0F-BB93-30E6AD5B16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