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frangipanier et jasmin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linalyl acetate, benzyl salicylate, neryl acetate, TETRAHYDROLINALOOL, cyclamen aldehyde, 1-(1,2,3,4,5,6,7,8-octahydro-2,3,8,8-tetramethyl-2-naphthyl)ethan-1-one.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3,7-dimethyloctan-3-ol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78-69-3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201-133-9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0,3066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cyclamen 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203-161-7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Repr. 2, H361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cis-3-hexenyl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65405-77-8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265-745-8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Acute 1, H400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141-12-8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205-459-2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0,1316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Mimo że nie określono konkretnych zagrożeń, osoby udzielające pierwszej pomocy powinny nosić okulary ochronne, rękawice i jednorazową półmaskę. Rozważyć dodatkową ochronę, jeśli prawdopodobna jest powtarzająca się lub długotrwała ekspozycja.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rosa. kokos. Piżmo.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8270 mg/kg masy ciała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– 5000 mg/kg masy ciała Animal: rat, Guideline: OECD Guideline 401 (Acute Oral Toxicity)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5000 mg/kg masy ciała Animal: rat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 mg/kg masy ciała Animal: rat, Animal sex: male, Guideline: OECD Guideline 415 [One-Generation Reproduction Toxicity Study (before 9 October 2017)]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 mg/kg masy ciała Animal: rat, Animal sex: female, Guideline: OECD Guideline 415 [One-Generation Reproduction Toxicity Study (before 9 October 2017)]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 mg/kg masy ciała Animal: rat, Guideline: OECD Guideline 422 (Combined Repeated Dose Toxicity Study with the Reproduction / Developmental Toxicity Screening Test)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frangipanier et jasmin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13,393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8,9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14,2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1,42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2,49 mg/l Test organisms (species):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1,4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4,3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2,7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3,8 mg/l Test organisms (species): Raphidocelis subcapitata (previous names: Pseudokirchneriella subcapitata, Selenastrum capricornutum)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2,7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0,65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0,61 mg/l Test organisms (species): Desmodesmus subspicatus (previous name: Scenedesmus subspicatus)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0,28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frangipanier et jasmin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neryl acetate (141-12-8)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 ; benzyl salicylate ; 3,7-dimethyloctan-3-ol ; cyclamen 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cyclamen 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linalyl acetate, benzyl salicylate, neryl acetate, TETRAHYDROLINALOOL, cyclamen aldehyde, 1-(1,2,3,4,5,6,7,8-octahydro-2,3,8,8-tetramethyl-2-naphthyl)ethan-1-one.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22.05.2026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22.05.2026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frangipanier et jasmin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frangipanier et jasmin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22.05.2026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1C0A5A-D847-4B68-91A8-A60D03A629AE}"/>
</file>

<file path=customXml/itemProps3.xml><?xml version="1.0" encoding="utf-8"?>
<ds:datastoreItem xmlns:ds="http://schemas.openxmlformats.org/officeDocument/2006/customXml" ds:itemID="{AA295140-A3C9-45F2-9482-61A13A37A35A}"/>
</file>

<file path=customXml/itemProps4.xml><?xml version="1.0" encoding="utf-8"?>
<ds:datastoreItem xmlns:ds="http://schemas.openxmlformats.org/officeDocument/2006/customXml" ds:itemID="{00A5772B-EE5C-49CD-94E9-AAF2A374FD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