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framboise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2,3-epoxy-3-phenylbutyrate; 3,7-dimethyloctan-3-ol; cinnamaldehyde; benzyl salicylate; 4-hydroxy-2,5-dimethylfuran-2(3H)-one; Eugenol; hexyl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H361d</w:t>
              <w:br/>
              <w:t>STOT RE Niesklasyfikowane</w:t>
              <w:br/>
              <w:t>Aquatic Acute 1, H400 (M=1)</w:t>
              <w:br/>
              <w:t>Aquatic Chronic 1, H410 (M=1)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Kwiatowy.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masy ciała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masy ciała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framboise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framboise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3,7-dimethyloctan-3-ol ; cinnamaldehyde ; benzyl benzoate ; d-limonene ; Eugenol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 ; benzyl benzoate ; d-limonene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(narażenie powtarzane) Nie sklasyfikowany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dziecko w łonie matki.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framboise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framboise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27.07.2026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CA58EB-AC6A-4729-9906-BA47240867AA}"/>
</file>

<file path=customXml/itemProps3.xml><?xml version="1.0" encoding="utf-8"?>
<ds:datastoreItem xmlns:ds="http://schemas.openxmlformats.org/officeDocument/2006/customXml" ds:itemID="{37BFC065-81C6-4AF6-AB3C-05E097591C5E}"/>
</file>

<file path=customXml/itemProps4.xml><?xml version="1.0" encoding="utf-8"?>
<ds:datastoreItem xmlns:ds="http://schemas.openxmlformats.org/officeDocument/2006/customXml" ds:itemID="{2D4D6B17-2F30-4DF9-9B81-0F46725D18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