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framboise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2,3-epoxy-3-phenylbutyrate; 1-(2,6,6-trimethyl-3-cyclohexen-1-yl)-2-buten-1-one; 3,7-dimethyloctan-3-ol; cinnamaldehyde; benzyl salicylate; 4-hydroxy-2,5-dimethylfuran-2(3H)-one; Eugenol; hexyl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77-83-8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201-061-8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6259-76-3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228-408-6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607-772-00-3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H361d</w:t>
              <w:br/>
              <w:t>STOT RE Niesklasyfikowane</w:t>
              <w:br/>
              <w:t>Aquatic Acute 1, H400 (M=1)</w:t>
              <w:br/>
              <w:t>Aquatic Chronic 1, H410 (M=1)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0,0182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Kwiatowy.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500 mg/kg masy ciała Animal: rat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&gt; 1000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46,9 mg/kg masy ciała Animal: rat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0,249 mg/l air Animal: rat, Guideline: OECD Guideline 412 (Subacute Inhalation Toxicity: 28-Day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framboise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0,357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framboise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3,7-dimethyloctan-3-ol ; cinnamaldehyde ; benzyl benzoate ; d-limonene ; Eugenol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cinnamaldehyde ; benzyl benzoate ; d-limonene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(narażenie powtarzane) Nie sklasyfikowany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dziecko w łonie matki.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framboise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framboise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27.07.2026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3552CB-8FDE-439D-8684-FF5AA3C9C357}"/>
</file>

<file path=customXml/itemProps3.xml><?xml version="1.0" encoding="utf-8"?>
<ds:datastoreItem xmlns:ds="http://schemas.openxmlformats.org/officeDocument/2006/customXml" ds:itemID="{1320E7CF-CFE9-4F12-A78F-66D350262A7F}"/>
</file>

<file path=customXml/itemProps4.xml><?xml version="1.0" encoding="utf-8"?>
<ds:datastoreItem xmlns:ds="http://schemas.openxmlformats.org/officeDocument/2006/customXml" ds:itemID="{5BC30077-50EA-4F5C-B856-F06DBF29AB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