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lotus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p-tolylacetaldehyde; citronellol; eter metylowy cedrowy; isoeugenol; (E)-1-(2,6,6-trimethyl-1,3-cyclohexadien-1-yl)-2-buten-1-one; linalool; d-limonene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rosa. Fioletowy. Akwowy.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masy ciała Animal: rat, Guideline: OECD Guideline 408 (Repeated Dose 90-Day Oral Toxicity Study in Rodents)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isoeugenol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lotus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lotus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92862-2904-4498-9431-08F9E42ABB50}"/>
</file>

<file path=customXml/itemProps3.xml><?xml version="1.0" encoding="utf-8"?>
<ds:datastoreItem xmlns:ds="http://schemas.openxmlformats.org/officeDocument/2006/customXml" ds:itemID="{89B511BE-C3C4-43A0-8230-489F7711DACF}"/>
</file>

<file path=customXml/itemProps4.xml><?xml version="1.0" encoding="utf-8"?>
<ds:datastoreItem xmlns:ds="http://schemas.openxmlformats.org/officeDocument/2006/customXml" ds:itemID="{A6DE9A39-0258-4959-9E50-72AEB820D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