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guimauve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drażniąco na oczy.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Mieszanina ta nie zawiera żadnej substancji, jaką należałoby wymienić zgodnie z punktem 3.2 Załącznika II rozporządzenia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98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guimauve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Świeca fleur de guimauve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guimauve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guimauve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2F007-F44F-4911-A4F6-80BB72E3B3CF}"/>
</file>

<file path=customXml/itemProps3.xml><?xml version="1.0" encoding="utf-8"?>
<ds:datastoreItem xmlns:ds="http://schemas.openxmlformats.org/officeDocument/2006/customXml" ds:itemID="{CD528081-8E65-4892-AA31-F9B16C316A25}"/>
</file>

<file path=customXml/itemProps4.xml><?xml version="1.0" encoding="utf-8"?>
<ds:datastoreItem xmlns:ds="http://schemas.openxmlformats.org/officeDocument/2006/customXml" ds:itemID="{38991238-F8F9-4843-8FA4-68AE2D4F4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