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citronnier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  <w:br/>
              <w:t>P101 - W przypadku konsultacji z lekarzem należy mieć pod ręką pojemnik lub etykietę.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citral, 1-(1,2,3,4,5,6,7,8-octahydro-2,3,8,8-tetramethyl-2-naphthyl)ethan-1-one, 3,7-dimethylnona-1,6-dien-3-ol, LIMONENE, geranyl acetate.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(ATE=218 mg/kg masy ciała)</w:t>
              <w:br/>
              <w:t>Acute Tox. 3 (Skórne), H311 (ATE=810 mg/kg masy ciała)</w:t>
              <w:br/>
              <w:t>Aquatic Acute 1, H400 (M=10)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Kwiatowy.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masy ciała Animal: rat, 95% CL: 5450 - 7340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masy ciała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citronnier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citronnier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citral, 1-(1,2,3,4,5,6,7,8-octahydro-2,3,8,8-tetramethyl-2-naphthyl)ethan-1-one, 3,7-dimethylnona-1,6-dien-3-ol, LIMONENE, geranyl acetate.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31.03.2026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31.03.2026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citronnier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citronnier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31.03.2026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DC3FA-EF44-4196-9242-8547D8C460E9}"/>
</file>

<file path=customXml/itemProps3.xml><?xml version="1.0" encoding="utf-8"?>
<ds:datastoreItem xmlns:ds="http://schemas.openxmlformats.org/officeDocument/2006/customXml" ds:itemID="{09C40C5B-0F38-4CF0-BFCE-EB808030706E}"/>
</file>

<file path=customXml/itemProps4.xml><?xml version="1.0" encoding="utf-8"?>
<ds:datastoreItem xmlns:ds="http://schemas.openxmlformats.org/officeDocument/2006/customXml" ds:itemID="{D1B5D426-5B9A-4AF5-9882-4FEDEACAD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