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bananier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Pomeranian, West Pomeranian, Warmian-Masurian, Kuyavian-Pomeranian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Poznan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Greater Poland, Lubusz, Lower Silesian, Opole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Masovian, Łódź, Podlaskie and Lublin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Biocidal product poisoning control region: Voivodeships: Lesser Poland, Subcarpathian, Silesian, Holy Cross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Zawartość/pojemnik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1-(1,2,3,4,5,6,7,8-octahydro-2,3,8,8-tetramethyl-2-naphthyl)ethan-1-one, 3,7-dimethylnona-1,6-dien-3-ol, linalyl acetate, benzyl salicylate.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Contains no PBT and/or vPvB substances ≥ 0.1% assessed in accordance with REACH Annex XIII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Jeżeli poczujesz się niedobrze, zgłoś się do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z tego produktu może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Zastosować 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stosować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Pożar gasić z bezpiecznej odległości i chronionej lokalizacji. Nie wchodzić do strefy pożaru bez odpowiedniego sprzętu ochronnego, w tym bez ochrony dróg oddechowych.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przystosowanego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Jeżeli produkt dostanie się do ścieków lub wód publicznych, powiadomić władze.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sprzęt ochrony osobistej.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przystosowanego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Zbierać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Raczej nie stanowi większego zagrożenia w spodziewanych warunkach normalnego użycia.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odpowiednią wentylację miejsca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każdej manipulacji.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odpowiednią wentylację miejsca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Owocowy.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Żadnej niebezpiecznej znanej reakcji w warunkach normalnego używania.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bananier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bananier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lokalne (odpady)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Ecological information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 w:rsidRPr="0069446B">
        <w:rPr>
          <w:noProof/>
        </w:rPr>
        <w:t>Nie zawiera substancji wymienionych w Załączniku XIV rozporządzenia REACH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z listy kandydackiej rozporządzenia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Contains no substance(s) listed on the PIC list (Regulation EU 649/2012 concerning the export and import of hazardous chemicals)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Contains no substance(s) listed on the POP list (Regulation EU 2019/1021 on persistent organic pollutants)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Not listed on the Ozone Depletion list (Regulation EU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produktów podwójnego zastosowania (428/2009)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Contains no substance subject to the COUNCIL REGULATION (EC) for the control of dual-use items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substancji podlegających rozporządzeniu (WE) 273/2004 Parlamentu Europejskiego i Rady z dnia 11 lutego 2004 r. w sprawie wytwarzania i wprowadzania do obrotu niektórych substancji wykorzystywanych do nielegalnego wytwarzania środków odurzających i substancji psychotropowych.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 U. Nr 63, poz. 322 wraz z późn. zm.).</w:t>
              <w:br/>
              <w:t>Ustawa z dnia 14 grudnia 2012r. o odpadach (Dz. U. 2013, poz.21 wraz z późn. zm.).</w:t>
              <w:br/>
              <w:t>Obwieszczenie Marszałka Sejmu Rzeczypospolitej Polskiej z dnia 19 października 2016 r. w sprawie ogłoszenia jednolitego tekstu ustawy o gospodarce opakowaniami i odpadami opakowaniowymi (Dz. U. 2016, poz. 1863 wraz z późn. zm.).</w:t>
              <w:br/>
              <w:t>Rozporządzenie Ministra Środowiska z dnia 9 grudnia 2014 r. w sprawie katalogu odpadów (Dz. U. 2014, poz. 1923).</w:t>
              <w:br/>
              <w:t>Ustawa z dnia 19 sierpnia 2011r. o przewozie towarów niebezpiecznych (Dz. U. 2011 nr 227, poz.1367 wraz z późn. zm.; tekst jednolity Dz.U. z 2019 r. poz. 382).</w:t>
              <w:br/>
              <w:t>Rozporządzenie Ministra Rodziny, pracy i polityki społecznej z dnia 12 czerwca 2018 r. w sprawie najwyższych dopuszczalnych stężeń i natężeń czynników szkodliwych dla zdrowia w środowisku pracy (Dz. U. z dnia 3 lipca 2018, poz. 1286).</w:t>
              <w:br/>
              <w:t>Obwieszczenie Ministra Zdrowia z dnia 9 września 2016 r. w sprawie ogłoszenia jednolitego tekstu rozporządzenia Ministra Zdrowia w sprawie bezpieczeństwa i higieny pracy związanej z występowaniem w miejscu pracy czynników chemicznych (Dz.U. z dnia 16 września 2016 r., poz. 1488).</w:t>
              <w:br/>
              <w:t>Rozporządzenie Ministra Zdrowia z dnia 2 lutego 2011 r. w sprawie badań i pomiarów czynników szkodliwych dla zdrowia w środowisku pracy (Dz. U. Nr 33, poz. 166).</w:t>
              <w:br/>
              <w:t>Rozporządzenie Ministra Środowiska z dnia 9 grudnia 2003 r. w sprawie substancji stwarzających szczególne zagrożenie dla środowiska (Dz. U. Nr 217, poz. 2141).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maximum workplace concentration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Acute Hazard, Category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Aspiration hazard, Category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corrosion/irritation, Category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sensitisation, category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May be fatal if swallowed and enters airways.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skin irritation.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May cause an allergic skin reaction.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serious eye irritation.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Very toxic to aquatic life.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Very toxic to aquatic life with long lasting effects.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1-(1,2,3,4,5,6,7,8-octahydro-2,3,8,8-tetramethyl-2-naphthyl)ethan-1-one, 3,7-dimethylnona-1,6-dien-3-ol, linalyl acetate, benzyl salicylate.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bananier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bananier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26.03.2026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C613FB-7248-4243-8F3C-6237B0DB73C4}"/>
</file>

<file path=customXml/itemProps3.xml><?xml version="1.0" encoding="utf-8"?>
<ds:datastoreItem xmlns:ds="http://schemas.openxmlformats.org/officeDocument/2006/customXml" ds:itemID="{956174E1-9675-43CA-8A06-56E9E37155DE}"/>
</file>

<file path=customXml/itemProps4.xml><?xml version="1.0" encoding="utf-8"?>
<ds:datastoreItem xmlns:ds="http://schemas.openxmlformats.org/officeDocument/2006/customXml" ds:itemID="{EF9AF85C-E1D5-4D5E-8A7B-248FED84E1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