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figue et santal 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TETRAMETHYL ACETYLOCTAHYDRONAPHTHALENES, DIHYDRO PENTAMETHYLINDANONE.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1,4-dioxacycloheptadecane-5,17-dione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216-133-4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4-methyl-3-decen-5-ol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81782-77-6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279-815-0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Owocowy. Bursztyn.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masy ciała Animal: rat, Animal sex: female, Guideline: OECD Guideline 401 (Acute Oral Toxicity), 95% CL: 2043 - 3529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masy ciała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figue et santal 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4-methyl-3-decen-5-ol (81782-77-6)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3,6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figue et santal 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4-methyl-3-decen-5-ol (81782-77-6)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1,4-dioxacycloheptadecane-5,17-dione ; 4-methyl-3-decen-5-ol ; 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TETRAMETHYL ACETYLOCTAHYDRONAPHTHALENES, DIHYDRO PENTAMETHYLINDANONE.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figue et santal 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figue et santal 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22.10.2026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3D6BD8-1D7A-47F4-AF81-712283CEA8BD}"/>
</file>

<file path=customXml/itemProps3.xml><?xml version="1.0" encoding="utf-8"?>
<ds:datastoreItem xmlns:ds="http://schemas.openxmlformats.org/officeDocument/2006/customXml" ds:itemID="{91943955-3DF2-44DC-8937-F720E4C86AC1}"/>
</file>

<file path=customXml/itemProps4.xml><?xml version="1.0" encoding="utf-8"?>
<ds:datastoreItem xmlns:ds="http://schemas.openxmlformats.org/officeDocument/2006/customXml" ds:itemID="{6ACAED6F-B54F-42AC-9CEB-6C341811C3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