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feuille de figuier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eter metylowy cedrowy; 1-(1,2,3,4,5,6,7,8-octahydro-2,3,8,8-tetramethyl-2-naphthyl)ethan-1-one; cashmeran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eter metylowy cedrowy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Owocowy. Green. Bursztyn.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masy ciała Animal: rat, Animal sex: female, Guideline: OECD Guideline 401 (Acute Oral Toxicity), 95% CL: 2043 - 3529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masy ciała Animal: rat, Animal sex: male, Guideline: OECD Guideline 421 (Reproduction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feuille de figuier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feuille de figuier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eter metylowy cedrowy (19870-74-7)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9.07.2026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9.07.2026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feuille de figuier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feuille de figuier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9.07.2026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269511-B1DC-40EA-9F19-62FA3713ACB2}"/>
</file>

<file path=customXml/itemProps3.xml><?xml version="1.0" encoding="utf-8"?>
<ds:datastoreItem xmlns:ds="http://schemas.openxmlformats.org/officeDocument/2006/customXml" ds:itemID="{78C2DBC7-CCCE-49B7-98A2-DBADEDFE9418}"/>
</file>

<file path=customXml/itemProps4.xml><?xml version="1.0" encoding="utf-8"?>
<ds:datastoreItem xmlns:ds="http://schemas.openxmlformats.org/officeDocument/2006/customXml" ds:itemID="{2C65BE3A-7061-4AA3-9552-226126148E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