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éclats d'amande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linalyl acetate, linalool.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100-52-7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202-860-4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605-012-00-5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0,3297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(Poprzez wdychanie), H332 (ATE=3 mg/l/4h)</w:t>
              <w:br/>
              <w:t>Skin Irrit. 2, H315</w:t>
              <w:br/>
              <w:t>Eye Irrit. 2, H319</w:t>
              <w:br/>
              <w:t>Repr. 2, H361</w:t>
              <w:br/>
              <w:t>STOT SE 3, H335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0,2478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0,2478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0,2471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Irydescencyjny. Hesperidaceae. Migdał. Orientalny. balsamiczny.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1430 mg/kg masy ciała Animal: rat, Animal sex: male, Guideline: OECD Guideline 401 (Acute Oral Toxicity), 95% CL: 1,33 - 1,54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436 (Acute Inhalation Toxicity: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éclats d'amande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33,1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8,05 mg/l Test organisms (species): Raphidocelis subcapitata (previous names: Pseudokirchneriella subcapitata, Selenastrum capricornutum)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 mg/l Test organisms (species): Pimephales promelas Duration: '7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éclats d'amande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anisaldehyde ; benzaldehyde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benzaldehyde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linalyl acetate, linalool.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22.06.2026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22.06.2026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éclats d'amande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éclats d'amande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22.06.2026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EF3DEE-EFF6-4BDF-ABE4-F20A9743B994}"/>
</file>

<file path=customXml/itemProps3.xml><?xml version="1.0" encoding="utf-8"?>
<ds:datastoreItem xmlns:ds="http://schemas.openxmlformats.org/officeDocument/2006/customXml" ds:itemID="{137DF1BD-E49E-497D-AE24-0572D050B406}"/>
</file>

<file path=customXml/itemProps4.xml><?xml version="1.0" encoding="utf-8"?>
<ds:datastoreItem xmlns:ds="http://schemas.openxmlformats.org/officeDocument/2006/customXml" ds:itemID="{13346495-48CF-460C-8649-01734CCE86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