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délice de nöel 10%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p w:rsidR="00827634" w:rsidRPr="0069446B" w:rsidP="009E5102" w14:paraId="2D05B3D4" w14:textId="5E45E9EA">
      <w:pPr>
        <w:pStyle w:val="SDSTextNormal"/>
      </w:pPr>
      <w:r w:rsidRPr="0069446B">
        <w:rPr>
          <w:noProof/>
        </w:rPr>
        <w:t>Przeznaczone do użytku ogólnego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73A03078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18E402" w14:textId="563429D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Kategoria głównego zastosowania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9EFFE2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6F65824" w14:textId="396EDE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Stosowanie przez konsumentów</w:t>
            </w:r>
          </w:p>
        </w:tc>
      </w:tr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Może powodować reakcję alergiczną skóry.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Hasło ostrzegawcze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Uwaga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Zawiera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d-limonene; Eugenol; cinnamaldehyde; linalool; (E)-anethole; 1-(2,6,6-trimethyl-3-cyclohexen-1-yl)-2-buten-1-one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 w:rsidR="00FA7F7F">
              <w:rPr>
                <w:noProof/>
              </w:rPr>
              <w:t>H317 - Może powodować alergię skórną.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P302+P352 - W PRZYPADKU KONTAKTU ZE SKÓRĄ: Dokładnie umyć wody z mydłem.</w:t>
              <w:br/>
              <w:t>P333+P313 - W przypadku podrażnienia lub wysypki skórnej: skonsultować się z lekarzem.</w:t>
              <w:br/>
              <w:t>P501 - Zawartość i pojemnik usuwać do centrum sortowania, zgodnie z lokalnymi przepisami.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5989-27-5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227-813-5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601-096-00-2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0,446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Irrit. 2, H315</w:t>
              <w:br/>
              <w:t>Skin Sens. 1B, H317</w:t>
              <w:br/>
              <w:t>Asp. Tox. 1, H304</w:t>
              <w:br/>
              <w:t>Aquatic Acute 1, H400 (M=1)</w:t>
              <w:br/>
              <w:t>Aquatic Chronic 3, H412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123-11-5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204-602-6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0,385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Repr. 2, H361</w:t>
              <w:br/>
              <w:t>Aquatic Chronic 3, H412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0,236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(E)-anethole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4180-23-8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224-052-0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0,154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0,1538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(Skórne), H312 (ATE=1260 mg/kg masy ciała)</w:t>
              <w:br/>
              <w:t>Skin Irrit. 2, H315</w:t>
              <w:br/>
              <w:t>Eye Irrit. 2, H319</w:t>
              <w:br/>
              <w:t>Skin Sens. 1A, H317</w:t>
              <w:br/>
              <w:t>Aquatic Chronic 3, H412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97-53-0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202-589-1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0,115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1-(2,6,6-trimethyl-3-cyclohexen-1-yl)-2-buten-1-one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57378-68-4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260-709-8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0,023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Skin Irrit. 2, H315</w:t>
              <w:br/>
              <w:t>Skin Sens. 1A, H317</w:t>
              <w:br/>
              <w:t>Aquatic Acute 1, H400</w:t>
              <w:br/>
              <w:t>Aquatic Chronic 1, H410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Specyficzne stężenia graniczne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Specyficzne stężenia graniczne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Umyj skórę dużą ilością wody. Zdjąć zanieczyszczoną odzież. W przypadku wystąpienia podrażnienia skóry lub wysypki: Zasięgnąć porady/zgłosić się pod opiekę lekarza.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Może powodować reakcję alergiczną skóry.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Wentyluj obszar wycieku. Unikać kontaktu ze skórą i z oczami. Unikać wdychania pyłu/dymu/gazu/mgły/par/rozpylonej cieczy.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Unikać kontaktu ze skórą i z oczami. Unikać wdychania pyłu/dymu/gazu/mgły/par/rozpylonej cieczy.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Zanieczyszczonej odzieży ochronnej nie wynosić poza miejsce pracy. Wyprać zanieczyszczoną odzież przed ponownym użyciem. 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Anyż. Hesperidaceae. Pikantny. Żywność.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Animal sex: female, Guideline: OECD Guideline 423 (Acute Oral toxicity -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3210 mg/kg masy ciała Animal: rat, Guideline: OECD Guideline 401 (Acute Oral Toxicity), 95% CL: 2755 - 3600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Animal sex: male, Guideline: OECD Guideline 423 (Acute Oral toxicity - Acute Toxic Class Method)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1500 – 1500 mg/kg masy ciała Animal: mouse, Animal sex: male, Guideline: OECD Guideline 423 (Acute Oral toxicity -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2220 mg/kg masy ciała Animal: rat, Guideline: other:, 95% CL: 1910 - 2600</w:t>
            </w:r>
          </w:p>
        </w:tc>
      </w:tr>
      <w:tr w14:paraId="512A600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3400 mg/kg masy ciała Animal: guinea pig,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402 (Acute Dermal Toxicity)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1260 mg/kg masy ciała Animal: rabbit, Guideline: other:</w:t>
            </w:r>
          </w:p>
        </w:tc>
      </w:tr>
      <w:tr w14:paraId="2AC9C97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6E9B3C" w14:textId="396F2C7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Inhalacja - Szczur [ppm]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B461613" w14:textId="5B1B40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68,88871 ppm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masy ciała Animal: rat, Guideline: OECD Guideline 401 (Acute Oral Toxicity), 95% CL: 2440 - 3180</w:t>
            </w:r>
          </w:p>
        </w:tc>
      </w:tr>
      <w:tr w14:paraId="512A600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masy ciała Animal: mouse, Guideline: OECD Guideline 401 (Acute Oral Toxicity), 95% CL: 2620 - 3620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masy ciała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F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(E)-anethole (4180-23-8)</w:t>
            </w:r>
          </w:p>
        </w:tc>
      </w:tr>
      <w:tr w14:paraId="02D6B5AE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1420 – 3070 mg/kg masy ciała Animal: rat, 95% CL: 2090 -</w:t>
            </w:r>
          </w:p>
        </w:tc>
      </w:tr>
      <w:tr w14:paraId="6700D316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4900 mg/kg masy ciała Animal: rabbit, Guideline: EU Method B.3 (Acute Toxicity (Dermal))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LC50 Inhalacja -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≥ 5,1 mg/l air Animal: rat, Guideline: OECD Guideline 403 (Acute Inhalation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alergię skórną.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600 mg/kg masy ciała Animal: rat, Animal sex: female, Guideline: other: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masy ciała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6B0A5EE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7C20CFC" w14:textId="6F7047D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zwierzę/samiec,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A78E587" w14:textId="4F8C43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≥ 900 mg/kg masy ciała Animal: mouse, Animal sex: male, Guideline: other: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zwierzę/samica,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450 mg/kg masy ciała Animal: mouse, Animal sex: female,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masy ciała Animal: rat, Guideline: OECD Guideline 407 (Repeated Dose 28-Day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D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(E)-anethole (4180-23-8)</w:t>
            </w:r>
          </w:p>
        </w:tc>
      </w:tr>
      <w:tr w14:paraId="07CBBCD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≈ 300 mg/kg masy ciała Animal: rat, Guideline: OECD Guideline 408 (Repeated Dose 90-Day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délice de nöel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Produkt ten nie jest uważany za toksyczny dla organizmów wodnych i nie powoduje długotrwałych, niekorzystnych zmian w środowisku naturalnym.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720 μg/l Test organisms (species): Pimephales promelas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702 μg/l Test organisms (species): Pimephales promelas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0,307 mg/l Test organisms (species): Daphnia magna</w:t>
            </w:r>
          </w:p>
        </w:tc>
      </w:tr>
      <w:tr w14:paraId="3762B1C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C25C54D" w14:textId="5D87D3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0EEB38" w14:textId="3612B69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0,51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0,32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0,214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148,32 mg/l Test organisms (species): Leuciscus idus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82,8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68,4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(przewlekłe)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1,53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0,71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 mg/l Test organisms (species): Danio rerio (previous name: Brachydanio rerio)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1,05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2,35 mg/l Test organisms (species): Danio rerio (previous name: Brachydanio rerio)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119,5578 mg/l Test organisms (species): Daphnia magna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15,159 mg/l Test organisms (species): other: Duration: '28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(E)-anethole (4180-23-8)</w:t>
            </w:r>
          </w:p>
        </w:tc>
      </w:tr>
      <w:tr w14:paraId="562CCB6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7 mg/l Test organisms (species): Danio rerio (previous name: Brachydanio rerio)</w:t>
            </w:r>
          </w:p>
        </w:tc>
      </w:tr>
      <w:tr w14:paraId="758D634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4,25 mg/l Test organisms (species): Daphnia magna</w:t>
            </w:r>
          </w:p>
        </w:tc>
      </w:tr>
      <w:tr w14:paraId="61BDF10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(przewlekłe)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2,44 mg/l Test organisms (species): Daphnia magna Duration: '21 d'</w:t>
            </w:r>
          </w:p>
        </w:tc>
      </w:tr>
      <w:tr w14:paraId="4F25074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1,05 mg/l Test organisms (species): Daphnia magna Duration: '21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délice de nöel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(E)-anethole (4180-23-8)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1-(2,6,6-trimethyl-3-cyclohexen-1-yl)-2-buten-1-one (57378-68-4)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2.1–2.4, 2.6 i 2.7, 2.8 typy A i B, klasy 2.9, 2.10, 2.12, klasa 2.13 kategorie 1 i 2, klasa 2.14 kategorie 1 i 2 oraz klasa 2.15 typy A–F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d-limonene ; anisaldehyde ; Eugenol ; cinnamaldehyde ; linalool ; (E)-anethole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d-limonene ; anisaldehyde ; 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naniesieniu na skórę), kategoria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Niebezpieczeństwo w przypadku aspiracji, kategoria 1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Ciecze łatwopalne, kategoria 3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Działanie szkodliwe na rozrodczość, kategoria 2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1A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Ciecz i opary łatwopalne.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być śmiertelny w przypadku spożycia i dostania się do dróg oddechowych.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kontakcie ze skórą.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Podejrzewa się, że działa szkodliwie na płodność lub na dziecko w łonie matki.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wodnych, powoduje szkodliwe skutki w długim okresie.</w:t>
            </w:r>
          </w:p>
        </w:tc>
      </w:tr>
      <w:tr w14:paraId="63F052E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22.06.2026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22.06.2026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délice de nöel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délice de nöel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22.06.2026   Wersja: 3.0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A13246-7C37-472B-88A3-D64B4A547DF1}"/>
</file>

<file path=customXml/itemProps3.xml><?xml version="1.0" encoding="utf-8"?>
<ds:datastoreItem xmlns:ds="http://schemas.openxmlformats.org/officeDocument/2006/customXml" ds:itemID="{1DFD3CED-2FD8-4D2D-8A88-1FAFA5FE2552}"/>
</file>

<file path=customXml/itemProps4.xml><?xml version="1.0" encoding="utf-8"?>
<ds:datastoreItem xmlns:ds="http://schemas.openxmlformats.org/officeDocument/2006/customXml" ds:itemID="{3A3D487A-7BBB-4A9D-A85E-B59429ECB9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14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