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cupcake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cinnamaldehyde; piperonal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3-ethoxy-4-hydroxybenzaldehyde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H361fd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butanedione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 określoną na poziomie Wspólnoty wartością najwyższego dopuszczalnego stężenia w środowisku pracy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431-03-8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207-069-8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2, H225</w:t>
              <w:br/>
              <w:t>Acute Tox. 4 (Doustne), H302 (ATE=500 mg/kg masy ciała)</w:t>
              <w:br/>
              <w:t>Acute Tox. 3 (Poprzez wdychanie), H331</w:t>
              <w:br/>
              <w:t>Skin Irrit. 2, H315</w:t>
              <w:br/>
              <w:t>Eye Dam. 1, H318</w:t>
              <w:br/>
              <w:t>Skin Sens. 1, H317</w:t>
              <w:br/>
              <w:t>STOT RE 2, H373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Krajowe wartości najwyższych dopuszczalnych stężeń w środowisku pracy i dopuszczalne wartości biologiczne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butanedione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(431-03-8)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Orientacyjna wartość graniczna narażenia zawodowego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Nazwa miejscowa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Diacetyl; Butanedione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0,36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Odniesienie regulacyjne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Wanilia. Gourmand. mleko.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masy ciała Animal: rat, Guideline: OECD Guideline 401 (Acute Oral Toxicity), 95% CL: 2350 - 3100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masy ciała Animal: rat, Animal sex: female,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84BEFF8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3AFF7EC2" w14:textId="08937FB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76AEBB14" w14:textId="5216086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uszkodzenie narządów poprzez długotrwałe lub narażenie powtarzane.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cupcake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cupcake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butanedione (431-03-8)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Zawiera substancję(-e) wymienioną(-e)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Oznaczenie CN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Numer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Kategoria,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Podkategoria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Próg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ZAŁĄCZNIK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ZAŁĄCZNIK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ciekłe łatwopalne,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RE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powtarzane, kategoria 2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Wysoce łatwopalna ciecz i pary.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H361fd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płodność. Podejrzewa się, że działa szkodliwie na dziecko w łonie matki.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uszkodzenie narządów poprzez długotrwałe lub narażenie powtarzane.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cupcake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cupcake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8CA2D-B8F6-4698-A33F-2A9207CF8CBB}"/>
</file>

<file path=customXml/itemProps3.xml><?xml version="1.0" encoding="utf-8"?>
<ds:datastoreItem xmlns:ds="http://schemas.openxmlformats.org/officeDocument/2006/customXml" ds:itemID="{EFEFA5F2-4B34-4942-8819-28FC3349DE44}"/>
</file>

<file path=customXml/itemProps4.xml><?xml version="1.0" encoding="utf-8"?>
<ds:datastoreItem xmlns:ds="http://schemas.openxmlformats.org/officeDocument/2006/customXml" ds:itemID="{9F141ED6-1219-479A-B350-7540EA4E6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