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Świeca coquelicot 7%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Pełny tekst H- oraz stwierdzenia EUH: patrz sekcja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 w:rsidRPr="0069446B">
        <w:rPr>
          <w:noProof/>
        </w:rPr>
        <w:t>Działa szkodliwie na organizmy wodne, powodując długotrwałe skutki.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H412 - Szkodliwy dla organizmów wodnych, powoduje długoterminowe skutki niepożądane.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P273 - Unikać uwalniania do środowiska.</w:t>
              <w:br/>
              <w:t>P501 - Zawartość/pojemnik usuwać do centrum sortowania, zgodnie z lokalnymi przepisami.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Zwroty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Zawiera 3,7-dimethylnona-1,6-dien-3-ol, HYDROXYCITRONELLAL, alpha-iso-methylionone, citronellol, 1-(1,2,3,4,5,6,7,8-octahydro-2,3,8,8-tetramethyl-2-naphthyl)ethan-1-one, α-hexylcinnamaldehyde. Może powodować reakcję alergiczną.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7-hydroxycitronellal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107-75-5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203-518-7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0,875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2, H319</w:t>
              <w:br/>
              <w:t>Skin Sens. 1B, H317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3,7-dimethylnona-1,6-dien-3-ol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10339-55-6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233-732-6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0,2625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citronellol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106-22-9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203-375-0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0,2625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1-(1,2,3,4,5,6,7,8-octahydro-2,3,8,8-tetramethyl-2-naphthyl)ethan-1-one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54464-57-2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259-174-3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0,2625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1, H410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alpha-iso-methylionone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127-51-5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204-846-3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0,1575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2, H411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α-hexylcinnamaldehyde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101-86-0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202-983-3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0,1337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2, H411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Umyj skórę dużą ilością wody.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może powodować podrażnienia w fałdach skóry lub w wyniku kontaktu w połączeniu z obcisłą odzieżą.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Wentyluj obszar wycieku.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Green. Owocowy. rosa.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6400 mg/kg masy ciała Animal: rat, Guideline: OECD Guideline 401 (Acute Oral Toxicity)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rabbit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sklasyfikowany (W oparciu o dostępne dane, kryteria klasyfikacji nie są spełnione)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19EADB4D" w14:textId="0F48635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30ACEB51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61EBDDE8" w14:textId="3F55FEC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95C82A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4CC5AB0" w14:textId="28F4EB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(przewlekłe, doustnie, zwierzę/samiec, 2 lata)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C01117" w14:textId="4F52C4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masy ciała Animal: mouse, Animal sex: male, Guideline: OECD Guideline 453 (Combined Chronic Toxicity / Carcinogenicity Studies)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 mg/kg masy ciała Animal: rat, Guideline: OECD Guideline 453 (Combined Chronic Toxicity / Carcinogenicity Studies)</w:t>
            </w:r>
          </w:p>
        </w:tc>
      </w:tr>
      <w:tr w14:paraId="6B0A5EE8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7C20CFC" w14:textId="6F7047D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(podprzewlekłe, doustnie, zwierzę/samiec,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5A78E587" w14:textId="4F8C43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masy ciała Animal: mouse, Animal sex: male, Guideline: OECD Guideline 453 (Combined Chronic Toxicity / Carcinogenicity Studies)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coquelicot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 szkodliwie na organizmy wodne, powodując długotrwałe skutki.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Szkodliwy dla organizmów wodnych, powoduje długoterminowe skutki niepożądane.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31,6 mg/l Test organisms (species): Leuciscus idus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410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123,32 mg/l Test organisms (species): Desmodesmus subspicatus (previous name: Scenedesmus subspicatus)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coquelicot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3,7-dimethylnona-1,6-dien-3-ol (10339-55-6)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alpha-iso-methylionone (127-51-5)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citronellol (106-22-9)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1-(1,2,3,4,5,6,7,8-octahydro-2,3,8,8-tetramethyl-2-naphthyl)ethan-1-one (54464-57-2)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α-hexylcinnamaldehyde (101-86-0)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Kod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»Ekotoksyczne«: odpady, które stanowią lub mogą stanowić bezpośrednie lub opóźnione zagrożenie dla co najmniej jednego elementu środowiska.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p w:rsidR="00A65092" w:rsidRPr="0069446B" w:rsidP="00A65092" w14:paraId="1965DBDA" w14:textId="0FFE3A91">
      <w:pPr>
        <w:pStyle w:val="SDSTextNormal"/>
      </w:pPr>
      <w:r>
        <w:rPr>
          <w:noProof/>
        </w:rPr>
        <w:t>Nie zawiera substancji wymienionych w załączniku XVII do rozporządzenia REACH (warunki ograniczeń)</w:t>
      </w:r>
    </w:p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akutne, kategoria 1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1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2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wodnych, powoduje szkodliwe skutki w długim okresie.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toksycznie na organizmy wodne, powodując długotrwałe skutki.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Szkodliwy dla organizmów wodnych, powoduje długoterminowe skutki niepożądane.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Zawiera 3,7-dimethylnona-1,6-dien-3-ol, HYDROXYCITRONELLAL, alpha-iso-methylionone, citronellol, 1-(1,2,3,4,5,6,7,8-octahydro-2,3,8,8-tetramethyl-2-naphthyl)ethan-1-one, α-hexylcinnamaldehyde. Może powodować reakcję alergiczną.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i procedura stosowane do ustalenia klasyfikacji mieszanin zgodnie z rozporządzeniem (WE)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Metoda obliczeniowa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27.03.2026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27.03.2026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coquelicot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coquelicot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27.03.2026   Wersja: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DB9466-1842-4B4E-A160-003E2F5CD51E}"/>
</file>

<file path=customXml/itemProps3.xml><?xml version="1.0" encoding="utf-8"?>
<ds:datastoreItem xmlns:ds="http://schemas.openxmlformats.org/officeDocument/2006/customXml" ds:itemID="{EA4AC68E-CCA5-491C-BD7F-F9555EC79923}"/>
</file>

<file path=customXml/itemProps4.xml><?xml version="1.0" encoding="utf-8"?>
<ds:datastoreItem xmlns:ds="http://schemas.openxmlformats.org/officeDocument/2006/customXml" ds:itemID="{7BAAF73B-1547-49BE-B72C-0DAA04C39F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11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