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choco pistache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1-(1,2,3,4,5,6,7,8-octahydro-2,3,8,8-tetramethyl-2-naphthyl)ethan-1-one, LIMONENE,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[3R-(3α,3aβ,7β,8aα)]-2,3,4,7,8,8a-hexahydro-3,6,8,8-tetramethyl-1H-3a,7-methanoazulene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[3R-(3α,3aβ,7β,8aα)]-octahydro-3,8,8-trimethyl-6-methylene-1H-3a,7-methanoazulene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546-28-1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208-898-8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choco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choco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[3R-(3α,3aβ,7β,8aα)]-octahydro-3,8,8-trimethyl-6-methylene-1H-3a,7-methanoazulene (546-28-1)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[3R-(3α,3aβ,7β,8aα)]-2,3,4,7,8,8a-hexahydro-3,6,8,8-tetramethyl-1H-3a,7-methanoazulene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1-(1,2,3,4,5,6,7,8-octahydro-2,3,8,8-tetramethyl-2-naphthyl)ethan-1-one, LIMONENE, coumarin.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choco pistache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choco pistache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48B81A-E2D8-490A-AD22-64F551AF65C3}"/>
</file>

<file path=customXml/itemProps3.xml><?xml version="1.0" encoding="utf-8"?>
<ds:datastoreItem xmlns:ds="http://schemas.openxmlformats.org/officeDocument/2006/customXml" ds:itemID="{EEF15D72-483F-430A-82B2-28707749144D}"/>
</file>

<file path=customXml/itemProps4.xml><?xml version="1.0" encoding="utf-8"?>
<ds:datastoreItem xmlns:ds="http://schemas.openxmlformats.org/officeDocument/2006/customXml" ds:itemID="{98E11BFA-19ED-4128-B059-91C22CC470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