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Swieca chataigne grillée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Alcool benzylique; coumarin; Eugenol; isoeugenol;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Acute Tox. 4 (Poprzez wdychanie), H332 (ATE=1,5 mg/l/4h)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Corr. 1B, H314</w:t>
              <w:br/>
              <w:t>Eye Dam. 1, H318</w:t>
              <w:br/>
              <w:t>Skin Sens. 1A,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0,00392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Alcool benzylique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masy ciała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chataigne grillée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chataigne grillée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Alcool benzylique ; Eugenol ; isoeugenol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żrące/drażniące na skórę, kategoria 1, podkategoria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oparzenia skóry oraz uszkodzenia oczu.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16.06.2026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16.06.2026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chataigne grillée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chataigne grillée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16.06.2026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1EE225-57B1-4B97-A654-2305C10CAE0A}"/>
</file>

<file path=customXml/itemProps3.xml><?xml version="1.0" encoding="utf-8"?>
<ds:datastoreItem xmlns:ds="http://schemas.openxmlformats.org/officeDocument/2006/customXml" ds:itemID="{49E47225-D3AE-4FF1-A137-AF641557B149}"/>
</file>

<file path=customXml/itemProps4.xml><?xml version="1.0" encoding="utf-8"?>
<ds:datastoreItem xmlns:ds="http://schemas.openxmlformats.org/officeDocument/2006/customXml" ds:itemID="{A600436D-DF72-4ACF-87F7-A0027F27FA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