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chataigne grillée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Alcool benzylique; coumarin; Eugenol; isoeugenol;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Alcool benzylique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Acute Tox. 4 (Poprzez wdychanie), H332 (ATE=1,5 mg/l/4h)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Corr. 1B, H314</w:t>
              <w:br/>
              <w:t>Eye Dam. 1, H318</w:t>
              <w:br/>
              <w:t>Skin Sens. 1A,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Wanilia.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male, Guideline: OECD Guideline 423 (Acute Oral toxicity - Acute Toxic Class Method)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masy ciała Animal: mouse, Animal sex: 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masy ciała Animal: mouse, Animal sex: male, Guideline: other:</w:t>
            </w:r>
          </w:p>
        </w:tc>
      </w:tr>
      <w:tr w14:paraId="72CFCC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chataigne grillée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chataigne grillée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Alcool benzylique ; Eugenol ; 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żrące/drażniące na skórę, kategoria 1, podkategoria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oparzenia skóry oraz uszkodzenia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chataigne grillée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chataigne grillée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16.06.2026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1AF29-ECCD-4C7B-8289-D422CE7059B0}"/>
</file>

<file path=customXml/itemProps3.xml><?xml version="1.0" encoding="utf-8"?>
<ds:datastoreItem xmlns:ds="http://schemas.openxmlformats.org/officeDocument/2006/customXml" ds:itemID="{232E4750-2678-4722-89E5-D94720E41B0E}"/>
</file>

<file path=customXml/itemProps4.xml><?xml version="1.0" encoding="utf-8"?>
<ds:datastoreItem xmlns:ds="http://schemas.openxmlformats.org/officeDocument/2006/customXml" ds:itemID="{D25E6096-A1BE-4C13-97C6-6213D7CBD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