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cerise noire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coumarin, cinnamaldehyde.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tricyclo[5.2.1.02,6]dec-4-en-8-yl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2500-83-6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219-700-4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Acute 1, H400</w:t>
              <w:br/>
              <w:t>Aquatic Chronic 2, H411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temperaturze pokojowej i z dala od wszelkich źródeł ciepła.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odpowiednią wentylację.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Owocowy. Green.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F45D1B8" w14:textId="6C4876BB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cerise noire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cerise noire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tricyclo[5.2.1.02,6]dec-4-en-8-yl acetate (2500-83-6)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coumarin, cinnamaldehyde.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18.03.2026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18.03.2026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cerise noire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cerise noire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18.03.2026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52AB80-3C1F-4BFE-995A-2161F25A55AD}"/>
</file>

<file path=customXml/itemProps3.xml><?xml version="1.0" encoding="utf-8"?>
<ds:datastoreItem xmlns:ds="http://schemas.openxmlformats.org/officeDocument/2006/customXml" ds:itemID="{2D60A00F-2EA7-4D05-BA39-F35CAACF6EF1}"/>
</file>

<file path=customXml/itemProps4.xml><?xml version="1.0" encoding="utf-8"?>
<ds:datastoreItem xmlns:ds="http://schemas.openxmlformats.org/officeDocument/2006/customXml" ds:itemID="{2560F559-4DDA-42A7-A22B-CAB115CD33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