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cerise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cinnamaldehyde; d-limonene; coumarin; 1-(1,2,3,4,5,6,7,8-octahydro-2,3,8,8-tetramethyl-2-naphthyl)ethan-1-one; (E)-1-(2,6,6-trimethyl-1,3-cyclohexadien-1-yl)-2-buten-1-one; benzyl salicylate; Acétate de 4-tert-butylcyclohexyle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1,372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Acétate de 4-tert-butylcyclohexyle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0,833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0,483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  <w:tr w14:paraId="73AD14F9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3" w:name="_Hlk205902293"/>
    <w:bookmarkEnd w:id="3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Owocowy.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B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B.1 (Acute Toxicity (Oral))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4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02D6B5B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420 (Acute Oral Toxicity - Fixed Dose Method), Guideline: EU Method B.1 bis (Acute Oral Toxicity - Fixed Dose Procedure)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6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60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masy ciała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masy ciała Animal: rat, Guideline: OECD Guideline 408 (Repeated Dose 90-Day Oral Toxicity Study in Rodents)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A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cerise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4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4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562CCB6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cerise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2D6A99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5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5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d-limonene ; benzaldehyde ; anisaldehyde ; alpha-pinene ; benzyl benzoate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d-limonene ; benzaldehyde ; anisaldehyde ; alpha-pinene ; benzyl benzoate ; 1,3,4,6,7,8-hexahydro-4,6,6,7,8,8-hexamethylindeno[5,6-c]pyran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18.06.2026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18.06.2026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cerise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cerise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18.06.2026   Wersja: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B4DF0D-C3A1-4AB8-9FC6-0E8466B35295}"/>
</file>

<file path=customXml/itemProps3.xml><?xml version="1.0" encoding="utf-8"?>
<ds:datastoreItem xmlns:ds="http://schemas.openxmlformats.org/officeDocument/2006/customXml" ds:itemID="{41463F2C-83E3-49DC-886A-431A86E6CD30}"/>
</file>

<file path=customXml/itemProps4.xml><?xml version="1.0" encoding="utf-8"?>
<ds:datastoreItem xmlns:ds="http://schemas.openxmlformats.org/officeDocument/2006/customXml" ds:itemID="{9A627920-7210-4AC2-9F75-4113AA2602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17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