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cèdre du Liban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TETRAHYDROLINALOOL, CEDRYL ACETATE, ALPHA-METHYL-BETA-IONONE, ALPHA-ISOMETHYL IONONE.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607-085-00-9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3-methyl-4-(2,6,6-trimethyl-2-cyclohexen-1-yl)-3-buten-2-one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1-(2,6,6-trimethyl-1-cyclohexen-1-yl)pent-1-en-3-one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127-43-5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204-843-7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[3R-(3α,3aβ,7β,8aα)]-octahydro-3,8,8-trimethyl-6-methylene-1H-3a,7-methanoazulene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546-28-1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208-898-8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aromatyczny.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781 mg/kg masy ciała Animal: rat, Guideline: OECD Guideline 410 (Repeated Dose Dermal Toxicity: 21/28-Day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cèdre du Liban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3,09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cèdre du Liban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benzoate (120-51-4)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1-(2,6,6-trimethyl-1-cyclohexen-1-yl)pent-1-en-3-one (127-43-5)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3-methyl-4-(2,6,6-trimethyl-2-cyclohexen-1-yl)-3-buten-2-one (127-51-5)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[3R-(3α,3aβ,7β,8aα)]-octahydro-3,8,8-trimethyl-6-methylene-1H-3a,7-methanoazulene (546-28-1)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3,7-dimethyloctan-3-ol ; [3R-(3α,3aβ,6α,7β,8aα)]-octahydro-3,6,8,8-tetramethyl-1H-3a,7-methanoazulen-5-yl acetate ; 3-methyl-4-(2,6,6-trimethyl-2-cyclohexen-1-yl)-3-buten-2-one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benzoate ; [3R-(3α,3aβ,6α,7β,8aα)]-octahydro-3,6,8,8-tetramethyl-1H-3a,7-methanoazulen-5-yl acetate ; 3-methyl-4-(2,6,6-trimethyl-2-cyclohexen-1-yl)-3-buten-2-one ; 1,4-dioxacycloheptadecane-5,17-dione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TETRAHYDROLINALOOL, CEDRYL ACETATE, ALPHA-METHYL-BETA-IONONE, ALPHA-ISOMETHYL IONONE.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cèdre du Liban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cèdre du Liban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14.09.2026   Wersja: 5.0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666E71-94E6-4071-B613-9048447F5AC9}"/>
</file>

<file path=customXml/itemProps3.xml><?xml version="1.0" encoding="utf-8"?>
<ds:datastoreItem xmlns:ds="http://schemas.openxmlformats.org/officeDocument/2006/customXml" ds:itemID="{F7597955-5D30-46EA-96F7-81BEF3B404BB}"/>
</file>

<file path=customXml/itemProps4.xml><?xml version="1.0" encoding="utf-8"?>
<ds:datastoreItem xmlns:ds="http://schemas.openxmlformats.org/officeDocument/2006/customXml" ds:itemID="{556533F5-78BA-4093-BBF3-C4999AE7F8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