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cachemire et soie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[3R-(3α,3aβ,6α,7β,8aα)]-octahydro-3,6,8,8-tetramethyl-1H-3a,7-methanoazulen-5-yl acetate; piperonal; 3,7-dimethylnona-1,6-dien-3-ol; alpha-iso-methylionone; isoeugenol; 2-isopropoxyethyl salicylate; 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2-isopropoxyethyl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79915-74-5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209-141-4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0,346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[3R-(3α,3aβ,7β,8aα)]-2,3,4,7,8,8a-hexahydro-3,8,8-trimethyl-1H-3a,7-methanoazulene-6-methyl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1405-92-1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215-789-9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isocamphenyl cyclohexanol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66068-84-6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266-100-3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Orientalny. balsamiczny. Drewniany.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masy ciała Animal: rat, Guideline: OECD Guideline 401 (Acute Oral Toxicity), 95% CL: 2350 - 3100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masy ciała Animal: mouse, Animal sex: male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423 (Acute Oral toxicity - Acute Toxic Class Method)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(Dermal)), Guideline: EPA OPPTS 870.1200 (Acute Dermal Toxicity),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5,27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6,7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6,7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– 200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1125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cachemire et soie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3,5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cachemire et soie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[3R-(3α,3aβ,7β,8aα)]-2,3,4,7,8,8a-hexahydro-3,8,8-trimethyl-1H-3a,7-methanoazulene-6-methyl acetate (1405-92-1)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isocamphenyl cyclohexanol (66068-84-6)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[3R-(3α,3aβ,6α,7β,8aα)]-octahydro-3,6,8,8-tetramethyl-1H-3a,7-methanoazulen-5-yl acetate ; d-limonene ; 3,7-dimethylnona-1,6-dien-3-ol ; alpha-iso-methylionone ; isoeugenol ; 2-isopropoxyethyl salicylate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[3R-(3α,3aβ,6α,7β,8aα)]-octahydro-3,6,8,8-tetramethyl-1H-3a,7-methanoazulen-5-yl acetate ; d-limonene ; alpha-iso-methylionone ; isocamphenyl cyclohexanol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Zawiera substancję(-e) wymienioną(-e)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Oznaczenie CN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Numer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Kategoria,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Podkategoria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Próg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ZAŁĄCZNIK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ZAŁĄCZNIK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cachemire et soie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cachemire et soie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5.10.2026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A8C66E-AAE9-4468-963F-5AB976E9EE03}"/>
</file>

<file path=customXml/itemProps3.xml><?xml version="1.0" encoding="utf-8"?>
<ds:datastoreItem xmlns:ds="http://schemas.openxmlformats.org/officeDocument/2006/customXml" ds:itemID="{C6A4BC38-F64A-4F4C-8F41-C501F00560D4}"/>
</file>

<file path=customXml/itemProps4.xml><?xml version="1.0" encoding="utf-8"?>
<ds:datastoreItem xmlns:ds="http://schemas.openxmlformats.org/officeDocument/2006/customXml" ds:itemID="{96710D70-4FF8-4D36-ABF9-C68AF43220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