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bubble gum fraise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P102 - Trzymać z dala od dzieci.</w:t>
              <w:br/>
              <w:t>P101 - W przypadku konsultacji z lekarzem należy mieć pod ręką pojemnik lub etykietę.</w:t>
              <w:br/>
              <w:t>P501 - Zawartość/pojemnik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LIMONENE, CARVONE, cinnamaldehyde.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0,6342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carvone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99-49-0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202-759-5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606-148-00-8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0,0084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Acute 1, H400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Wanilia. Mięta.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bubble gum fraise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bubble gum fraise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carvone (99-49-0)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LIMONENE, CARVONE, cinnamaldehyde.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bubble gum fraise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bubble gum fraise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26.06.2026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16CF5D-0846-42AF-B69B-D50B76D2FE4D}"/>
</file>

<file path=customXml/itemProps3.xml><?xml version="1.0" encoding="utf-8"?>
<ds:datastoreItem xmlns:ds="http://schemas.openxmlformats.org/officeDocument/2006/customXml" ds:itemID="{7F491579-D3C3-401A-B0B1-8D9A1D5F88F0}"/>
</file>

<file path=customXml/itemProps4.xml><?xml version="1.0" encoding="utf-8"?>
<ds:datastoreItem xmlns:ds="http://schemas.openxmlformats.org/officeDocument/2006/customXml" ds:itemID="{3E665B87-157E-49D1-A17B-FD37168A83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