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bubble gum fraise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d-limonene; carvone; (E)-anethole;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hexanoate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123-68-2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204-642-4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(ATE=280 mg/kg masy ciała)</w:t>
              <w:br/>
              <w:t>Acute Tox. 3 (Skórne), H311 (ATE=820 mg/kg masy ciała)</w:t>
              <w:br/>
              <w:t>Acute Tox. 3 (Poprzez wdychanie), H331 (ATE=0,5 mg/l/4h)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diphenyl ether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 określoną na poziomie Wspólnoty wartością najwyższego dopuszczalnego stężenia w środowisku pracy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101-84-8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1, H317</w:t>
              <w:br/>
              <w:t>Aquatic Acute 1, H400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Krajowe wartości najwyższych dopuszczalnych stężeń w środowisku pracy i dopuszczalne wartości biologiczne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diphenyl ether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(101-84-8)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Orientacyjna wartość graniczna narażenia zawodowego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Nazwa miejscowa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Diphenyl ether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Odniesienie regulacyjne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Wanilia. Mięta.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280 mg/kg masy ciała Animal: guinea pig, Guideline: OECD Guideline 401 (Acute Oral Toxicity), 95% CL: 246 - 319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820 mg/kg masy ciała Animal: rabbit, Guideline: OECD Guideline 402 (Acute Dermal Toxicity), 95% CL: 700 - 940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masy ciała Animal: rat, 95% CL: 2090 -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masy ciała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1000 mg/kg masy ciała Animal: rat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bubble gum fraise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1,96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bubble gum fraise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allyl hexanoate ; (E)-anethole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allyl hexanoate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następstwie wdychania.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bubble gum fraise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bubble gum fraise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26.06.2026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89EA7-9940-45AB-B0C0-2AF5887508C7}"/>
</file>

<file path=customXml/itemProps3.xml><?xml version="1.0" encoding="utf-8"?>
<ds:datastoreItem xmlns:ds="http://schemas.openxmlformats.org/officeDocument/2006/customXml" ds:itemID="{08138CA4-57D9-48DF-B7CF-0BC3CDF254EF}"/>
</file>

<file path=customXml/itemProps4.xml><?xml version="1.0" encoding="utf-8"?>
<ds:datastoreItem xmlns:ds="http://schemas.openxmlformats.org/officeDocument/2006/customXml" ds:itemID="{81973603-107B-4F92-AC84-910EC0871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