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balade en foret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Subtancje stałe łatwopalne Nie sklasyfikowany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METHYLENEDIOXYPHENYL METHYLPROPANAL, CEDROL METHYL ETHER, BENZYL SALICYLATE, BETA-CARYOPHYLLENE, TETRAMETHYL ACETYLOCTAHYDRONAPHTHALENES.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eter metylowy cedrowy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19870-74-7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243-384-7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0,875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0,6419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caryophyllene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87-44-5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201-746-1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0,3017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Asp. Tox. 1, H304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0,2919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α-methyl-1,3-benzodioxole-5-propionaldehyde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1205-17-0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214-881-6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605-042-00-9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0,175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Repr. 2, H361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Drewniany. Akwowy. Skóra.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α-methyl-1,3-benzodioxole-5-propionaldehyde (1205-17-0)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caryophyllene (87-44-5)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mouse, Animal sex: male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α-methyl-1,3-benzodioxole-5-propionaldehyde (1205-17-0)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750 mg/kg masy ciała Animal: rat, Animal sex: male, Guideline: OECD Guideline 422 (Combined Repeated Dose Toxicity Study with the Reproduction / Developmental Toxicity Screening Test)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 mg/kg masy ciała Animal: rat, Animal sex: female, Guideline: OECD Guideline 422 (Combined Repeated Dose Toxicity Study with the Reproduction / Developmental Toxicity Screening Test)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masy ciała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masy ciała Animal: rat,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balade en foret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α-methyl-1,3-benzodioxole-5-propionaldehyde (1205-17-0)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Oncorhynchus mykiss (previous name: Salmo gairdneri)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8,3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28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caryophyllene (87-44-5)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0,17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0,033 mg/l Test organisms (species): Raphidocelis subcapitata (previous names: Pseudokirchneriella subcapitata, Selenastrum capricornutum)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balade en foret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α-methyl-1,3-benzodioxole-5-propionaldehyde (1205-17-0)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eter metylowy cedrowy (19870-74-7)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caryophyllene (87-44-5)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α-methyl-1,3-benzodioxole-5-propionaldehyde ; d-limonene ; pin-2(3)-ene ; benzyl salicylate ; caryophyllene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α-methyl-1,3-benzodioxole-5-propionaldehyde ; d-limonene ; pin-2(3)-ene ; benzyl salicylate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Sol. Niesklasyfikowane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Subtancje stałe łatwopalne Nie sklasyfikowany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METHYLENEDIOXYPHENYL METHYLPROPANAL, CEDROL METHYL ETHER, BENZYL SALICYLATE, BETA-CARYOPHYLLENE, TETRAMETHYL ACETYLOCTAHYDRONAPHTHALENES. Może powodować reakcję alergiczną.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Flam. Sol. Niesklasyfikowane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eksperta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9.10.2026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9.10.2026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balade en foret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balade en foret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9.10.2026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0BDA84-6756-484E-8C98-9DF9173F5BDC}"/>
</file>

<file path=customXml/itemProps3.xml><?xml version="1.0" encoding="utf-8"?>
<ds:datastoreItem xmlns:ds="http://schemas.openxmlformats.org/officeDocument/2006/customXml" ds:itemID="{482AF868-60C2-43F9-98B0-BBB2BA2CEACF}"/>
</file>

<file path=customXml/itemProps4.xml><?xml version="1.0" encoding="utf-8"?>
<ds:datastoreItem xmlns:ds="http://schemas.openxmlformats.org/officeDocument/2006/customXml" ds:itemID="{F5F0ADF5-1AB3-4743-908F-787C0104EC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